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after="120"/>
        <w:jc w:val="center"/>
        <w:suppressAutoHyphens w:val="1"/>
      </w:pPr>
      <w:r>
        <w:rPr>
          <w:rFonts w:ascii="Aptos" w:hAnsi="Aptos" w:eastAsia="Aptos"/>
          <w:b/>
          <w:color w:val="0F2A41"/>
          <w:sz w:val="32"/>
        </w:rPr>
        <w:t>TRADE BASE HUB</w:t>
      </w:r>
    </w:p>
    <w:p>
      <w:pPr>
        <w:spacing w:after="160"/>
        <w:jc w:val="center"/>
        <w:suppressAutoHyphens w:val="1"/>
      </w:pPr>
      <w:r>
        <w:rPr>
          <w:rFonts w:ascii="Aptos" w:hAnsi="Aptos" w:eastAsia="Aptos"/>
          <w:b/>
          <w:color w:val="0F2A41"/>
          <w:sz w:val="32"/>
        </w:rPr>
        <w:t>REGULATORY POSITIONING &amp; SERVICE DISCLAIMER POLICY</w:t>
      </w:r>
    </w:p>
    <w:tbl>
      <w:tblPr>
        <w:tblStyle w:val="TableGrid"/>
        <w:tblW w:type="auto" w:w="0"/>
        <w:tblLayout w:type="fixed"/>
        <w:tblLook w:firstColumn="1" w:firstRow="1" w:lastColumn="0" w:lastRow="0" w:noHBand="0" w:noVBand="1" w:val="04A0"/>
      </w:tblPr>
      <w:tblGrid>
        <w:gridCol w:w="2592"/>
        <w:gridCol w:w="7056"/>
      </w:tblGrid>
      <w:tr>
        <w:tc>
          <w:tcPr>
            <w:tcW w:type="dxa" w:w="2592"/>
            <w:tcMar>
              <w:top w:w="70" w:type="dxa"/>
              <w:start w:w="70" w:type="dxa"/>
              <w:bottom w:w="70" w:type="dxa"/>
              <w:end w:w="70" w:type="dxa"/>
            </w:tcMar>
          </w:tcPr>
          <w:p>
            <w:pPr>
              <w:jc w:val="left"/>
            </w:pPr>
            <w:r>
              <w:rPr>
                <w:rFonts w:ascii="Aptos" w:hAnsi="Aptos" w:eastAsia="Aptos"/>
                <w:b/>
                <w:color w:val="0F2A41"/>
                <w:sz w:val="20"/>
              </w:rPr>
              <w:t>Document Reference</w:t>
            </w:r>
          </w:p>
        </w:tc>
        <w:tc>
          <w:tcPr>
            <w:tcW w:type="dxa" w:w="7056"/>
            <w:tcMar>
              <w:top w:w="70" w:type="dxa"/>
              <w:start w:w="70" w:type="dxa"/>
              <w:bottom w:w="70" w:type="dxa"/>
              <w:end w:w="70" w:type="dxa"/>
            </w:tcMar>
          </w:tcPr>
          <w:p>
            <w:pPr>
              <w:jc w:val="left"/>
            </w:pPr>
            <w:r>
              <w:rPr>
                <w:rFonts w:ascii="Aptos" w:hAnsi="Aptos" w:eastAsia="Aptos"/>
                <w:b w:val="0"/>
                <w:sz w:val="20"/>
              </w:rPr>
              <w:t>TBH-RPSD-V1.0</w:t>
            </w:r>
          </w:p>
        </w:tc>
      </w:tr>
      <w:tr>
        <w:tc>
          <w:tcPr>
            <w:tcW w:type="dxa" w:w="2592"/>
            <w:tcMar>
              <w:top w:w="70" w:type="dxa"/>
              <w:start w:w="70" w:type="dxa"/>
              <w:bottom w:w="70" w:type="dxa"/>
              <w:end w:w="70" w:type="dxa"/>
            </w:tcMar>
          </w:tcPr>
          <w:p>
            <w:pPr>
              <w:jc w:val="left"/>
            </w:pPr>
            <w:r>
              <w:rPr>
                <w:rFonts w:ascii="Aptos" w:hAnsi="Aptos" w:eastAsia="Aptos"/>
                <w:b/>
                <w:color w:val="0F2A41"/>
                <w:sz w:val="20"/>
              </w:rPr>
              <w:t>Effective Date</w:t>
            </w:r>
          </w:p>
        </w:tc>
        <w:tc>
          <w:tcPr>
            <w:tcW w:type="dxa" w:w="7056"/>
            <w:tcMar>
              <w:top w:w="70" w:type="dxa"/>
              <w:start w:w="70" w:type="dxa"/>
              <w:bottom w:w="70" w:type="dxa"/>
              <w:end w:w="70" w:type="dxa"/>
            </w:tcMar>
          </w:tcPr>
          <w:p>
            <w:pPr>
              <w:jc w:val="left"/>
            </w:pPr>
            <w:r>
              <w:rPr>
                <w:rFonts w:ascii="Aptos" w:hAnsi="Aptos" w:eastAsia="Aptos"/>
                <w:b w:val="0"/>
                <w:sz w:val="20"/>
              </w:rPr>
              <w:t>25 August 2026</w:t>
            </w:r>
          </w:p>
        </w:tc>
      </w:tr>
      <w:tr>
        <w:tc>
          <w:tcPr>
            <w:tcW w:type="dxa" w:w="2592"/>
            <w:tcMar>
              <w:top w:w="70" w:type="dxa"/>
              <w:start w:w="70" w:type="dxa"/>
              <w:bottom w:w="70" w:type="dxa"/>
              <w:end w:w="70" w:type="dxa"/>
            </w:tcMar>
          </w:tcPr>
          <w:p>
            <w:pPr>
              <w:jc w:val="left"/>
            </w:pPr>
            <w:r>
              <w:rPr>
                <w:rFonts w:ascii="Aptos" w:hAnsi="Aptos" w:eastAsia="Aptos"/>
                <w:b/>
                <w:color w:val="0F2A41"/>
                <w:sz w:val="20"/>
              </w:rPr>
              <w:t>Last Review Date</w:t>
            </w:r>
          </w:p>
        </w:tc>
        <w:tc>
          <w:tcPr>
            <w:tcW w:type="dxa" w:w="7056"/>
            <w:tcMar>
              <w:top w:w="70" w:type="dxa"/>
              <w:start w:w="70" w:type="dxa"/>
              <w:bottom w:w="70" w:type="dxa"/>
              <w:end w:w="70" w:type="dxa"/>
            </w:tcMar>
          </w:tcPr>
          <w:p>
            <w:pPr>
              <w:jc w:val="left"/>
            </w:pPr>
            <w:r>
              <w:rPr>
                <w:rFonts w:ascii="Aptos" w:hAnsi="Aptos" w:eastAsia="Aptos"/>
                <w:b w:val="0"/>
                <w:sz w:val="20"/>
              </w:rPr>
              <w:t>25 August 2026</w:t>
            </w:r>
          </w:p>
        </w:tc>
      </w:tr>
      <w:tr>
        <w:tc>
          <w:tcPr>
            <w:tcW w:type="dxa" w:w="2592"/>
            <w:tcMar>
              <w:top w:w="70" w:type="dxa"/>
              <w:start w:w="70" w:type="dxa"/>
              <w:bottom w:w="70" w:type="dxa"/>
              <w:end w:w="70" w:type="dxa"/>
            </w:tcMar>
          </w:tcPr>
          <w:p>
            <w:pPr>
              <w:jc w:val="left"/>
            </w:pPr>
            <w:r>
              <w:rPr>
                <w:rFonts w:ascii="Aptos" w:hAnsi="Aptos" w:eastAsia="Aptos"/>
                <w:b/>
                <w:color w:val="0F2A41"/>
                <w:sz w:val="20"/>
              </w:rPr>
              <w:t>Policy Owner</w:t>
            </w:r>
          </w:p>
        </w:tc>
        <w:tc>
          <w:tcPr>
            <w:tcW w:type="dxa" w:w="7056"/>
            <w:tcMar>
              <w:top w:w="70" w:type="dxa"/>
              <w:start w:w="70" w:type="dxa"/>
              <w:bottom w:w="70" w:type="dxa"/>
              <w:end w:w="70" w:type="dxa"/>
            </w:tcMar>
          </w:tcPr>
          <w:p>
            <w:pPr>
              <w:jc w:val="left"/>
            </w:pPr>
            <w:r>
              <w:rPr>
                <w:rFonts w:ascii="Aptos" w:hAnsi="Aptos" w:eastAsia="Aptos"/>
                <w:b w:val="0"/>
                <w:sz w:val="20"/>
              </w:rPr>
              <w:t>Trade Base Hub</w:t>
            </w:r>
          </w:p>
        </w:tc>
      </w:tr>
      <w:tr>
        <w:tc>
          <w:tcPr>
            <w:tcW w:type="dxa" w:w="2592"/>
            <w:tcMar>
              <w:top w:w="70" w:type="dxa"/>
              <w:start w:w="70" w:type="dxa"/>
              <w:bottom w:w="70" w:type="dxa"/>
              <w:end w:w="70" w:type="dxa"/>
            </w:tcMar>
          </w:tcPr>
          <w:p>
            <w:pPr>
              <w:jc w:val="left"/>
            </w:pPr>
            <w:r>
              <w:rPr>
                <w:rFonts w:ascii="Aptos" w:hAnsi="Aptos" w:eastAsia="Aptos"/>
                <w:b/>
                <w:color w:val="0F2A41"/>
                <w:sz w:val="20"/>
              </w:rPr>
              <w:t>Classification</w:t>
            </w:r>
          </w:p>
        </w:tc>
        <w:tc>
          <w:tcPr>
            <w:tcW w:type="dxa" w:w="7056"/>
            <w:tcMar>
              <w:top w:w="70" w:type="dxa"/>
              <w:start w:w="70" w:type="dxa"/>
              <w:bottom w:w="70" w:type="dxa"/>
              <w:end w:w="70" w:type="dxa"/>
            </w:tcMar>
          </w:tcPr>
          <w:p>
            <w:pPr>
              <w:jc w:val="left"/>
            </w:pPr>
            <w:r>
              <w:rPr>
                <w:rFonts w:ascii="Aptos" w:hAnsi="Aptos" w:eastAsia="Aptos"/>
                <w:b w:val="0"/>
                <w:sz w:val="20"/>
              </w:rPr>
              <w:t>Public / Client-Facing</w:t>
            </w:r>
          </w:p>
        </w:tc>
      </w:tr>
    </w:tbl>
    <w:p>
      <w:pPr>
        <w:suppressAutoHyphens w:val="1"/>
      </w:pPr>
    </w:p>
    <w:p>
      <w:pPr>
        <w:pStyle w:val="Heading1"/>
        <w:keepNext/>
        <w:spacing w:before="200" w:after="120"/>
        <w:suppressAutoHyphens w:val="1"/>
      </w:pPr>
      <w:r>
        <w:rPr>
          <w:rFonts w:ascii="Aptos" w:hAnsi="Aptos" w:eastAsia="Aptos"/>
          <w:b/>
          <w:color w:val="0F2A41"/>
          <w:sz w:val="32"/>
        </w:rPr>
        <w:t>1. PURPOSE</w:t>
      </w:r>
    </w:p>
    <w:p>
      <w:pPr>
        <w:keepLines w:val="0"/>
        <w:spacing w:after="120" w:line="276" w:lineRule="auto"/>
        <w:jc w:val="both"/>
        <w:suppressAutoHyphens w:val="1"/>
      </w:pPr>
      <w:r>
        <w:rPr>
          <w:rFonts w:ascii="Aptos" w:hAnsi="Aptos" w:eastAsia="Aptos"/>
          <w:b w:val="0"/>
          <w:sz w:val="22"/>
        </w:rPr>
        <w:t>This Policy defines the legal, regulatory, commercial and operational position of Trade Base Hub and establishes the limitations applicable to information, services, documentation, transaction support, digital platforms and communications provided through:</w:t>
      </w:r>
    </w:p>
    <w:p>
      <w:pPr>
        <w:pStyle w:val="ListBullet"/>
        <w:spacing w:after="40" w:line="276" w:lineRule="auto"/>
        <w:jc w:val="both"/>
        <w:suppressAutoHyphens w:val="1"/>
      </w:pPr>
      <w:r>
        <w:rPr>
          <w:rFonts w:ascii="Aptos" w:hAnsi="Aptos" w:eastAsia="Aptos"/>
          <w:b w:val="0"/>
          <w:sz w:val="22"/>
        </w:rPr>
        <w:t>tradebasehub.net;</w:t>
      </w:r>
    </w:p>
    <w:p>
      <w:pPr>
        <w:pStyle w:val="ListBullet"/>
        <w:spacing w:after="40" w:line="276" w:lineRule="auto"/>
        <w:jc w:val="both"/>
        <w:suppressAutoHyphens w:val="1"/>
      </w:pPr>
      <w:r>
        <w:rPr>
          <w:rFonts w:ascii="Aptos" w:hAnsi="Aptos" w:eastAsia="Aptos"/>
          <w:b w:val="0"/>
          <w:sz w:val="22"/>
        </w:rPr>
        <w:t>Trade Base Hub's Whop environment;</w:t>
      </w:r>
    </w:p>
    <w:p>
      <w:pPr>
        <w:pStyle w:val="ListBullet"/>
        <w:spacing w:after="40" w:line="276" w:lineRule="auto"/>
        <w:jc w:val="both"/>
        <w:suppressAutoHyphens w:val="1"/>
      </w:pPr>
      <w:r>
        <w:rPr>
          <w:rFonts w:ascii="Aptos" w:hAnsi="Aptos" w:eastAsia="Aptos"/>
          <w:b w:val="0"/>
          <w:sz w:val="22"/>
        </w:rPr>
        <w:t>Trade Base Hub's Discord server;</w:t>
      </w:r>
    </w:p>
    <w:p>
      <w:pPr>
        <w:pStyle w:val="ListBullet"/>
        <w:spacing w:after="40" w:line="276" w:lineRule="auto"/>
        <w:jc w:val="both"/>
        <w:suppressAutoHyphens w:val="1"/>
      </w:pPr>
      <w:r>
        <w:rPr>
          <w:rFonts w:ascii="Aptos" w:hAnsi="Aptos" w:eastAsia="Aptos"/>
          <w:b w:val="0"/>
          <w:sz w:val="22"/>
        </w:rPr>
        <w:t>private deal rooms;</w:t>
      </w:r>
    </w:p>
    <w:p>
      <w:pPr>
        <w:pStyle w:val="ListBullet"/>
        <w:spacing w:after="40" w:line="276" w:lineRule="auto"/>
        <w:jc w:val="both"/>
        <w:suppressAutoHyphens w:val="1"/>
      </w:pPr>
      <w:r>
        <w:rPr>
          <w:rFonts w:ascii="Aptos" w:hAnsi="Aptos" w:eastAsia="Aptos"/>
          <w:b w:val="0"/>
          <w:sz w:val="22"/>
        </w:rPr>
        <w:t>email and electronic communications;</w:t>
      </w:r>
    </w:p>
    <w:p>
      <w:pPr>
        <w:pStyle w:val="ListBullet"/>
        <w:spacing w:after="40" w:line="276" w:lineRule="auto"/>
        <w:jc w:val="both"/>
        <w:suppressAutoHyphens w:val="1"/>
      </w:pPr>
      <w:r>
        <w:rPr>
          <w:rFonts w:ascii="Aptos" w:hAnsi="Aptos" w:eastAsia="Aptos"/>
          <w:b w:val="0"/>
          <w:sz w:val="22"/>
        </w:rPr>
        <w:t>document preparation and review services;</w:t>
      </w:r>
    </w:p>
    <w:p>
      <w:pPr>
        <w:pStyle w:val="ListBullet"/>
        <w:spacing w:after="40" w:line="276" w:lineRule="auto"/>
        <w:jc w:val="both"/>
        <w:suppressAutoHyphens w:val="1"/>
      </w:pPr>
      <w:r>
        <w:rPr>
          <w:rFonts w:ascii="Aptos" w:hAnsi="Aptos" w:eastAsia="Aptos"/>
          <w:b w:val="0"/>
          <w:sz w:val="22"/>
        </w:rPr>
        <w:t>transaction-support activities; and</w:t>
      </w:r>
    </w:p>
    <w:p>
      <w:pPr>
        <w:pStyle w:val="ListBullet"/>
        <w:spacing w:after="40" w:line="276" w:lineRule="auto"/>
        <w:jc w:val="both"/>
        <w:suppressAutoHyphens w:val="1"/>
      </w:pPr>
      <w:r>
        <w:rPr>
          <w:rFonts w:ascii="Aptos" w:hAnsi="Aptos" w:eastAsia="Aptos"/>
          <w:b w:val="0"/>
          <w:sz w:val="22"/>
        </w:rPr>
        <w:t>any other Trade Base Hub-controlled service channel.</w:t>
      </w:r>
    </w:p>
    <w:p>
      <w:pPr>
        <w:keepLines w:val="0"/>
        <w:spacing w:after="120" w:line="276" w:lineRule="auto"/>
        <w:jc w:val="both"/>
        <w:suppressAutoHyphens w:val="1"/>
      </w:pPr>
      <w:r>
        <w:rPr>
          <w:rFonts w:ascii="Aptos" w:hAnsi="Aptos" w:eastAsia="Aptos"/>
          <w:b w:val="0"/>
          <w:sz w:val="22"/>
        </w:rPr>
        <w:t>The purpose of this Policy is to ensure that users, clients, counterparties, consultants, intermediaries and other participants clearly understand what Trade Base Hub does, what it does not do, and the responsibilities retained by each participant.</w:t>
      </w:r>
    </w:p>
    <w:p>
      <w:pPr>
        <w:pStyle w:val="Heading1"/>
        <w:keepNext/>
        <w:spacing w:before="200" w:after="120"/>
        <w:suppressAutoHyphens w:val="1"/>
      </w:pPr>
      <w:r>
        <w:rPr>
          <w:rFonts w:ascii="Aptos" w:hAnsi="Aptos" w:eastAsia="Aptos"/>
          <w:b/>
          <w:color w:val="0F2A41"/>
          <w:sz w:val="32"/>
        </w:rPr>
        <w:t>2. TRADE BASE HUB POSITION</w:t>
      </w:r>
    </w:p>
    <w:p>
      <w:pPr>
        <w:keepLines w:val="0"/>
        <w:spacing w:after="120" w:line="276" w:lineRule="auto"/>
        <w:jc w:val="both"/>
        <w:suppressAutoHyphens w:val="1"/>
      </w:pPr>
      <w:r>
        <w:rPr>
          <w:rFonts w:ascii="Aptos" w:hAnsi="Aptos" w:eastAsia="Aptos"/>
          <w:b w:val="0"/>
          <w:sz w:val="22"/>
        </w:rPr>
        <w:t>Trade Base Hub provides a commercial transaction support and transaction completion environment designed to assist individuals, companies, principals, authorised representatives, consultants, intermediaries and other commercial participants in organising, documenting, assessing and progressing legitimate business transactions.</w:t>
      </w:r>
    </w:p>
    <w:p>
      <w:pPr>
        <w:keepLines w:val="0"/>
        <w:spacing w:after="120" w:line="276" w:lineRule="auto"/>
        <w:jc w:val="both"/>
        <w:suppressAutoHyphens w:val="1"/>
      </w:pPr>
      <w:r>
        <w:rPr>
          <w:rFonts w:ascii="Aptos" w:hAnsi="Aptos" w:eastAsia="Aptos"/>
          <w:b w:val="0"/>
          <w:sz w:val="22"/>
        </w:rPr>
        <w:t>Services may include:</w:t>
      </w:r>
    </w:p>
    <w:p>
      <w:pPr>
        <w:pStyle w:val="ListBullet"/>
        <w:spacing w:after="40" w:line="276" w:lineRule="auto"/>
        <w:jc w:val="both"/>
        <w:suppressAutoHyphens w:val="1"/>
      </w:pPr>
      <w:r>
        <w:rPr>
          <w:rFonts w:ascii="Aptos" w:hAnsi="Aptos" w:eastAsia="Aptos"/>
          <w:b w:val="0"/>
          <w:sz w:val="22"/>
        </w:rPr>
        <w:t>transaction structuring support;</w:t>
      </w:r>
    </w:p>
    <w:p>
      <w:pPr>
        <w:pStyle w:val="ListBullet"/>
        <w:spacing w:after="40" w:line="276" w:lineRule="auto"/>
        <w:jc w:val="both"/>
        <w:suppressAutoHyphens w:val="1"/>
      </w:pPr>
      <w:r>
        <w:rPr>
          <w:rFonts w:ascii="Aptos" w:hAnsi="Aptos" w:eastAsia="Aptos"/>
          <w:b w:val="0"/>
          <w:sz w:val="22"/>
        </w:rPr>
        <w:t>transaction coordination;</w:t>
      </w:r>
    </w:p>
    <w:p>
      <w:pPr>
        <w:pStyle w:val="ListBullet"/>
        <w:spacing w:after="40" w:line="276" w:lineRule="auto"/>
        <w:jc w:val="both"/>
        <w:suppressAutoHyphens w:val="1"/>
      </w:pPr>
      <w:r>
        <w:rPr>
          <w:rFonts w:ascii="Aptos" w:hAnsi="Aptos" w:eastAsia="Aptos"/>
          <w:b w:val="0"/>
          <w:sz w:val="22"/>
        </w:rPr>
        <w:t>commercial process guidance;</w:t>
      </w:r>
    </w:p>
    <w:p>
      <w:pPr>
        <w:pStyle w:val="ListBullet"/>
        <w:spacing w:after="40" w:line="276" w:lineRule="auto"/>
        <w:jc w:val="both"/>
        <w:suppressAutoHyphens w:val="1"/>
      </w:pPr>
      <w:r>
        <w:rPr>
          <w:rFonts w:ascii="Aptos" w:hAnsi="Aptos" w:eastAsia="Aptos"/>
          <w:b w:val="0"/>
          <w:sz w:val="22"/>
        </w:rPr>
        <w:t>preparation and drafting of agreements and commercial documents;</w:t>
      </w:r>
    </w:p>
    <w:p>
      <w:pPr>
        <w:pStyle w:val="ListBullet"/>
        <w:spacing w:after="40" w:line="276" w:lineRule="auto"/>
        <w:jc w:val="both"/>
        <w:suppressAutoHyphens w:val="1"/>
      </w:pPr>
      <w:r>
        <w:rPr>
          <w:rFonts w:ascii="Aptos" w:hAnsi="Aptos" w:eastAsia="Aptos"/>
          <w:b w:val="0"/>
          <w:sz w:val="22"/>
        </w:rPr>
        <w:t>document review;</w:t>
      </w:r>
    </w:p>
    <w:p>
      <w:pPr>
        <w:pStyle w:val="ListBullet"/>
        <w:spacing w:after="40" w:line="276" w:lineRule="auto"/>
        <w:jc w:val="both"/>
        <w:suppressAutoHyphens w:val="1"/>
      </w:pPr>
      <w:r>
        <w:rPr>
          <w:rFonts w:ascii="Aptos" w:hAnsi="Aptos" w:eastAsia="Aptos"/>
          <w:b w:val="0"/>
          <w:sz w:val="22"/>
        </w:rPr>
        <w:t>transaction documentation;</w:t>
      </w:r>
    </w:p>
    <w:p>
      <w:pPr>
        <w:pStyle w:val="ListBullet"/>
        <w:spacing w:after="40" w:line="276" w:lineRule="auto"/>
        <w:jc w:val="both"/>
        <w:suppressAutoHyphens w:val="1"/>
      </w:pPr>
      <w:r>
        <w:rPr>
          <w:rFonts w:ascii="Aptos" w:hAnsi="Aptos" w:eastAsia="Aptos"/>
          <w:b w:val="0"/>
          <w:sz w:val="22"/>
        </w:rPr>
        <w:t>CIS/KYC information collection;</w:t>
      </w:r>
    </w:p>
    <w:p>
      <w:pPr>
        <w:pStyle w:val="ListBullet"/>
        <w:spacing w:after="40" w:line="276" w:lineRule="auto"/>
        <w:jc w:val="both"/>
        <w:suppressAutoHyphens w:val="1"/>
      </w:pPr>
      <w:r>
        <w:rPr>
          <w:rFonts w:ascii="Aptos" w:hAnsi="Aptos" w:eastAsia="Aptos"/>
          <w:b w:val="0"/>
          <w:sz w:val="22"/>
        </w:rPr>
        <w:t>counterparty information organisation;</w:t>
      </w:r>
    </w:p>
    <w:p>
      <w:pPr>
        <w:pStyle w:val="ListBullet"/>
        <w:spacing w:after="40" w:line="276" w:lineRule="auto"/>
        <w:jc w:val="both"/>
        <w:suppressAutoHyphens w:val="1"/>
      </w:pPr>
      <w:r>
        <w:rPr>
          <w:rFonts w:ascii="Aptos" w:hAnsi="Aptos" w:eastAsia="Aptos"/>
          <w:b w:val="0"/>
          <w:sz w:val="22"/>
        </w:rPr>
        <w:t>due-diligence support;</w:t>
      </w:r>
    </w:p>
    <w:p>
      <w:pPr>
        <w:pStyle w:val="ListBullet"/>
        <w:spacing w:after="40" w:line="276" w:lineRule="auto"/>
        <w:jc w:val="both"/>
        <w:suppressAutoHyphens w:val="1"/>
      </w:pPr>
      <w:r>
        <w:rPr>
          <w:rFonts w:ascii="Aptos" w:hAnsi="Aptos" w:eastAsia="Aptos"/>
          <w:b w:val="0"/>
          <w:sz w:val="22"/>
        </w:rPr>
        <w:t>screening and verification support;</w:t>
      </w:r>
    </w:p>
    <w:p>
      <w:pPr>
        <w:pStyle w:val="ListBullet"/>
        <w:spacing w:after="40" w:line="276" w:lineRule="auto"/>
        <w:jc w:val="both"/>
        <w:suppressAutoHyphens w:val="1"/>
      </w:pPr>
      <w:r>
        <w:rPr>
          <w:rFonts w:ascii="Aptos" w:hAnsi="Aptos" w:eastAsia="Aptos"/>
          <w:b w:val="0"/>
          <w:sz w:val="22"/>
        </w:rPr>
        <w:t>NCNDA preparation and review;</w:t>
      </w:r>
    </w:p>
    <w:p>
      <w:pPr>
        <w:pStyle w:val="ListBullet"/>
        <w:spacing w:after="40" w:line="276" w:lineRule="auto"/>
        <w:jc w:val="both"/>
        <w:suppressAutoHyphens w:val="1"/>
      </w:pPr>
      <w:r>
        <w:rPr>
          <w:rFonts w:ascii="Aptos" w:hAnsi="Aptos" w:eastAsia="Aptos"/>
          <w:b w:val="0"/>
          <w:sz w:val="22"/>
        </w:rPr>
        <w:t>fee agreement and IMFPA preparation;</w:t>
      </w:r>
    </w:p>
    <w:p>
      <w:pPr>
        <w:pStyle w:val="ListBullet"/>
        <w:spacing w:after="40" w:line="276" w:lineRule="auto"/>
        <w:jc w:val="both"/>
        <w:suppressAutoHyphens w:val="1"/>
      </w:pPr>
      <w:r>
        <w:rPr>
          <w:rFonts w:ascii="Aptos" w:hAnsi="Aptos" w:eastAsia="Aptos"/>
          <w:b w:val="0"/>
          <w:sz w:val="22"/>
        </w:rPr>
        <w:t>mandate and representation documentation;</w:t>
      </w:r>
    </w:p>
    <w:p>
      <w:pPr>
        <w:pStyle w:val="ListBullet"/>
        <w:spacing w:after="40" w:line="276" w:lineRule="auto"/>
        <w:jc w:val="both"/>
        <w:suppressAutoHyphens w:val="1"/>
      </w:pPr>
      <w:r>
        <w:rPr>
          <w:rFonts w:ascii="Aptos" w:hAnsi="Aptos" w:eastAsia="Aptos"/>
          <w:b w:val="0"/>
          <w:sz w:val="22"/>
        </w:rPr>
        <w:t>deal summaries and transaction briefs;</w:t>
      </w:r>
    </w:p>
    <w:p>
      <w:pPr>
        <w:pStyle w:val="ListBullet"/>
        <w:spacing w:after="40" w:line="276" w:lineRule="auto"/>
        <w:jc w:val="both"/>
        <w:suppressAutoHyphens w:val="1"/>
      </w:pPr>
      <w:r>
        <w:rPr>
          <w:rFonts w:ascii="Aptos" w:hAnsi="Aptos" w:eastAsia="Aptos"/>
          <w:b w:val="0"/>
          <w:sz w:val="22"/>
        </w:rPr>
        <w:t>broker and consultant genealogy recording;</w:t>
      </w:r>
    </w:p>
    <w:p>
      <w:pPr>
        <w:pStyle w:val="ListBullet"/>
        <w:spacing w:after="40" w:line="276" w:lineRule="auto"/>
        <w:jc w:val="both"/>
        <w:suppressAutoHyphens w:val="1"/>
      </w:pPr>
      <w:r>
        <w:rPr>
          <w:rFonts w:ascii="Aptos" w:hAnsi="Aptos" w:eastAsia="Aptos"/>
          <w:b w:val="0"/>
          <w:sz w:val="22"/>
        </w:rPr>
        <w:t>transaction workflow management;</w:t>
      </w:r>
    </w:p>
    <w:p>
      <w:pPr>
        <w:pStyle w:val="ListBullet"/>
        <w:spacing w:after="40" w:line="276" w:lineRule="auto"/>
        <w:jc w:val="both"/>
        <w:suppressAutoHyphens w:val="1"/>
      </w:pPr>
      <w:r>
        <w:rPr>
          <w:rFonts w:ascii="Aptos" w:hAnsi="Aptos" w:eastAsia="Aptos"/>
          <w:b w:val="0"/>
          <w:sz w:val="22"/>
        </w:rPr>
        <w:t>private deal-room support;</w:t>
      </w:r>
    </w:p>
    <w:p>
      <w:pPr>
        <w:pStyle w:val="ListBullet"/>
        <w:spacing w:after="40" w:line="276" w:lineRule="auto"/>
        <w:jc w:val="both"/>
        <w:suppressAutoHyphens w:val="1"/>
      </w:pPr>
      <w:r>
        <w:rPr>
          <w:rFonts w:ascii="Aptos" w:hAnsi="Aptos" w:eastAsia="Aptos"/>
          <w:b w:val="0"/>
          <w:sz w:val="22"/>
        </w:rPr>
        <w:t>dispute-document preparation;</w:t>
      </w:r>
    </w:p>
    <w:p>
      <w:pPr>
        <w:pStyle w:val="ListBullet"/>
        <w:spacing w:after="40" w:line="276" w:lineRule="auto"/>
        <w:jc w:val="both"/>
        <w:suppressAutoHyphens w:val="1"/>
      </w:pPr>
      <w:r>
        <w:rPr>
          <w:rFonts w:ascii="Aptos" w:hAnsi="Aptos" w:eastAsia="Aptos"/>
          <w:b w:val="0"/>
          <w:sz w:val="22"/>
        </w:rPr>
        <w:t>commercial coordination; and</w:t>
      </w:r>
    </w:p>
    <w:p>
      <w:pPr>
        <w:pStyle w:val="ListBullet"/>
        <w:spacing w:after="40" w:line="276" w:lineRule="auto"/>
        <w:jc w:val="both"/>
        <w:suppressAutoHyphens w:val="1"/>
      </w:pPr>
      <w:r>
        <w:rPr>
          <w:rFonts w:ascii="Aptos" w:hAnsi="Aptos" w:eastAsia="Aptos"/>
          <w:b w:val="0"/>
          <w:sz w:val="22"/>
        </w:rPr>
        <w:t>related professional support services.</w:t>
      </w:r>
    </w:p>
    <w:p>
      <w:pPr>
        <w:keepLines w:val="0"/>
        <w:spacing w:after="120" w:line="276" w:lineRule="auto"/>
        <w:jc w:val="both"/>
        <w:suppressAutoHyphens w:val="1"/>
      </w:pPr>
      <w:r>
        <w:rPr>
          <w:rFonts w:ascii="Aptos" w:hAnsi="Aptos" w:eastAsia="Aptos"/>
          <w:b w:val="0"/>
          <w:sz w:val="22"/>
        </w:rPr>
        <w:t>Trade Base Hub facilitates the organisation and progression of commercial activity.</w:t>
      </w:r>
    </w:p>
    <w:p>
      <w:pPr>
        <w:keepLines w:val="0"/>
        <w:spacing w:after="120" w:line="276" w:lineRule="auto"/>
        <w:jc w:val="both"/>
        <w:suppressAutoHyphens w:val="1"/>
      </w:pPr>
      <w:r>
        <w:rPr>
          <w:rFonts w:ascii="Aptos" w:hAnsi="Aptos" w:eastAsia="Aptos"/>
          <w:b/>
          <w:sz w:val="22"/>
        </w:rPr>
        <w:t>Trade Base Hub does not become a principal to a transaction merely because its platform, documents or services are used.</w:t>
      </w:r>
    </w:p>
    <w:p>
      <w:pPr>
        <w:pStyle w:val="Heading1"/>
        <w:keepNext/>
        <w:spacing w:before="200" w:after="120"/>
        <w:suppressAutoHyphens w:val="1"/>
      </w:pPr>
      <w:r>
        <w:rPr>
          <w:rFonts w:ascii="Aptos" w:hAnsi="Aptos" w:eastAsia="Aptos"/>
          <w:b/>
          <w:color w:val="0F2A41"/>
          <w:sz w:val="32"/>
        </w:rPr>
        <w:t>3. NOT A FINANCIAL INSTITUTION</w:t>
      </w:r>
    </w:p>
    <w:p>
      <w:pPr>
        <w:keepLines w:val="0"/>
        <w:spacing w:after="120" w:line="276" w:lineRule="auto"/>
        <w:jc w:val="both"/>
        <w:suppressAutoHyphens w:val="1"/>
      </w:pPr>
      <w:r>
        <w:rPr>
          <w:rFonts w:ascii="Aptos" w:hAnsi="Aptos" w:eastAsia="Aptos"/>
          <w:b w:val="0"/>
          <w:sz w:val="22"/>
        </w:rPr>
        <w:t>Trade Base Hub is not a bank, credit institution, investment bank, payment institution, money transmitter, deposit-taking institution, escrow institution or other financial institution.</w:t>
      </w:r>
    </w:p>
    <w:p>
      <w:pPr>
        <w:keepLines w:val="0"/>
        <w:spacing w:after="120" w:line="276" w:lineRule="auto"/>
        <w:jc w:val="both"/>
        <w:suppressAutoHyphens w:val="1"/>
      </w:pPr>
      <w:r>
        <w:rPr>
          <w:rFonts w:ascii="Aptos" w:hAnsi="Aptos" w:eastAsia="Aptos"/>
          <w:b w:val="0"/>
          <w:sz w:val="22"/>
        </w:rPr>
        <w:t>Trade Base Hub does not:</w:t>
      </w:r>
    </w:p>
    <w:p>
      <w:pPr>
        <w:pStyle w:val="ListBullet"/>
        <w:spacing w:after="40" w:line="276" w:lineRule="auto"/>
        <w:jc w:val="both"/>
        <w:suppressAutoHyphens w:val="1"/>
      </w:pPr>
      <w:r>
        <w:rPr>
          <w:rFonts w:ascii="Aptos" w:hAnsi="Aptos" w:eastAsia="Aptos"/>
          <w:b w:val="0"/>
          <w:sz w:val="22"/>
        </w:rPr>
        <w:t>accept deposits;</w:t>
      </w:r>
    </w:p>
    <w:p>
      <w:pPr>
        <w:pStyle w:val="ListBullet"/>
        <w:spacing w:after="40" w:line="276" w:lineRule="auto"/>
        <w:jc w:val="both"/>
        <w:suppressAutoHyphens w:val="1"/>
      </w:pPr>
      <w:r>
        <w:rPr>
          <w:rFonts w:ascii="Aptos" w:hAnsi="Aptos" w:eastAsia="Aptos"/>
          <w:b w:val="0"/>
          <w:sz w:val="22"/>
        </w:rPr>
        <w:t>hold client money as a bank;</w:t>
      </w:r>
    </w:p>
    <w:p>
      <w:pPr>
        <w:pStyle w:val="ListBullet"/>
        <w:spacing w:after="40" w:line="276" w:lineRule="auto"/>
        <w:jc w:val="both"/>
        <w:suppressAutoHyphens w:val="1"/>
      </w:pPr>
      <w:r>
        <w:rPr>
          <w:rFonts w:ascii="Aptos" w:hAnsi="Aptos" w:eastAsia="Aptos"/>
          <w:b w:val="0"/>
          <w:sz w:val="22"/>
        </w:rPr>
        <w:t>operate client bank accounts;</w:t>
      </w:r>
    </w:p>
    <w:p>
      <w:pPr>
        <w:pStyle w:val="ListBullet"/>
        <w:spacing w:after="40" w:line="276" w:lineRule="auto"/>
        <w:jc w:val="both"/>
        <w:suppressAutoHyphens w:val="1"/>
      </w:pPr>
      <w:r>
        <w:rPr>
          <w:rFonts w:ascii="Aptos" w:hAnsi="Aptos" w:eastAsia="Aptos"/>
          <w:b w:val="0"/>
          <w:sz w:val="22"/>
        </w:rPr>
        <w:t>issue banking instruments;</w:t>
      </w:r>
    </w:p>
    <w:p>
      <w:pPr>
        <w:pStyle w:val="ListBullet"/>
        <w:spacing w:after="40" w:line="276" w:lineRule="auto"/>
        <w:jc w:val="both"/>
        <w:suppressAutoHyphens w:val="1"/>
      </w:pPr>
      <w:r>
        <w:rPr>
          <w:rFonts w:ascii="Aptos" w:hAnsi="Aptos" w:eastAsia="Aptos"/>
          <w:b w:val="0"/>
          <w:sz w:val="22"/>
        </w:rPr>
        <w:t>issue Proof of Funds;</w:t>
      </w:r>
    </w:p>
    <w:p>
      <w:pPr>
        <w:pStyle w:val="ListBullet"/>
        <w:spacing w:after="40" w:line="276" w:lineRule="auto"/>
        <w:jc w:val="both"/>
        <w:suppressAutoHyphens w:val="1"/>
      </w:pPr>
      <w:r>
        <w:rPr>
          <w:rFonts w:ascii="Aptos" w:hAnsi="Aptos" w:eastAsia="Aptos"/>
          <w:b w:val="0"/>
          <w:sz w:val="22"/>
        </w:rPr>
        <w:t>provide banking guarantees;</w:t>
      </w:r>
    </w:p>
    <w:p>
      <w:pPr>
        <w:pStyle w:val="ListBullet"/>
        <w:spacing w:after="40" w:line="276" w:lineRule="auto"/>
        <w:jc w:val="both"/>
        <w:suppressAutoHyphens w:val="1"/>
      </w:pPr>
      <w:r>
        <w:rPr>
          <w:rFonts w:ascii="Aptos" w:hAnsi="Aptos" w:eastAsia="Aptos"/>
          <w:b w:val="0"/>
          <w:sz w:val="22"/>
        </w:rPr>
        <w:t>provide letters of credit;</w:t>
      </w:r>
    </w:p>
    <w:p>
      <w:pPr>
        <w:pStyle w:val="ListBullet"/>
        <w:spacing w:after="40" w:line="276" w:lineRule="auto"/>
        <w:jc w:val="both"/>
        <w:suppressAutoHyphens w:val="1"/>
      </w:pPr>
      <w:r>
        <w:rPr>
          <w:rFonts w:ascii="Aptos" w:hAnsi="Aptos" w:eastAsia="Aptos"/>
          <w:b w:val="0"/>
          <w:sz w:val="22"/>
        </w:rPr>
        <w:t>provide investment products;</w:t>
      </w:r>
    </w:p>
    <w:p>
      <w:pPr>
        <w:pStyle w:val="ListBullet"/>
        <w:spacing w:after="40" w:line="276" w:lineRule="auto"/>
        <w:jc w:val="both"/>
        <w:suppressAutoHyphens w:val="1"/>
      </w:pPr>
      <w:r>
        <w:rPr>
          <w:rFonts w:ascii="Aptos" w:hAnsi="Aptos" w:eastAsia="Aptos"/>
          <w:b w:val="0"/>
          <w:sz w:val="22"/>
        </w:rPr>
        <w:t>provide regulated payment services;</w:t>
      </w:r>
    </w:p>
    <w:p>
      <w:pPr>
        <w:pStyle w:val="ListBullet"/>
        <w:spacing w:after="40" w:line="276" w:lineRule="auto"/>
        <w:jc w:val="both"/>
        <w:suppressAutoHyphens w:val="1"/>
      </w:pPr>
      <w:r>
        <w:rPr>
          <w:rFonts w:ascii="Aptos" w:hAnsi="Aptos" w:eastAsia="Aptos"/>
          <w:b w:val="0"/>
          <w:sz w:val="22"/>
        </w:rPr>
        <w:t>guarantee payment by a buyer;</w:t>
      </w:r>
    </w:p>
    <w:p>
      <w:pPr>
        <w:pStyle w:val="ListBullet"/>
        <w:spacing w:after="40" w:line="276" w:lineRule="auto"/>
        <w:jc w:val="both"/>
        <w:suppressAutoHyphens w:val="1"/>
      </w:pPr>
      <w:r>
        <w:rPr>
          <w:rFonts w:ascii="Aptos" w:hAnsi="Aptos" w:eastAsia="Aptos"/>
          <w:b w:val="0"/>
          <w:sz w:val="22"/>
        </w:rPr>
        <w:t>guarantee delivery by a seller; or</w:t>
      </w:r>
    </w:p>
    <w:p>
      <w:pPr>
        <w:pStyle w:val="ListBullet"/>
        <w:spacing w:after="40" w:line="276" w:lineRule="auto"/>
        <w:jc w:val="both"/>
        <w:suppressAutoHyphens w:val="1"/>
      </w:pPr>
      <w:r>
        <w:rPr>
          <w:rFonts w:ascii="Aptos" w:hAnsi="Aptos" w:eastAsia="Aptos"/>
          <w:b w:val="0"/>
          <w:sz w:val="22"/>
        </w:rPr>
        <w:t>guarantee that financing or transaction funding will be obtained.</w:t>
      </w:r>
    </w:p>
    <w:p>
      <w:pPr>
        <w:keepLines w:val="0"/>
        <w:spacing w:after="120" w:line="276" w:lineRule="auto"/>
        <w:jc w:val="both"/>
        <w:suppressAutoHyphens w:val="1"/>
      </w:pPr>
      <w:r>
        <w:rPr>
          <w:rFonts w:ascii="Aptos" w:hAnsi="Aptos" w:eastAsia="Aptos"/>
          <w:b w:val="0"/>
          <w:sz w:val="22"/>
        </w:rPr>
        <w:t>Where third-party financial institutions, payment providers, escrow providers or banks are involved, their services remain separate from Trade Base Hub and are subject to their own terms, compliance requirements and regulatory obligations.</w:t>
      </w:r>
    </w:p>
    <w:p>
      <w:pPr>
        <w:pStyle w:val="Heading1"/>
        <w:keepNext/>
        <w:spacing w:before="200" w:after="120"/>
        <w:suppressAutoHyphens w:val="1"/>
      </w:pPr>
      <w:r>
        <w:rPr>
          <w:rFonts w:ascii="Aptos" w:hAnsi="Aptos" w:eastAsia="Aptos"/>
          <w:b/>
          <w:color w:val="0F2A41"/>
          <w:sz w:val="32"/>
        </w:rPr>
        <w:t>4. NO INVESTMENT, FINANCIAL OR TAX ADVICE</w:t>
      </w:r>
    </w:p>
    <w:p>
      <w:pPr>
        <w:keepLines w:val="0"/>
        <w:spacing w:after="120" w:line="276" w:lineRule="auto"/>
        <w:jc w:val="both"/>
        <w:suppressAutoHyphens w:val="1"/>
      </w:pPr>
      <w:r>
        <w:rPr>
          <w:rFonts w:ascii="Aptos" w:hAnsi="Aptos" w:eastAsia="Aptos"/>
          <w:b w:val="0"/>
          <w:sz w:val="22"/>
        </w:rPr>
        <w:t>Information provided by Trade Base Hub is intended for commercial transaction-support purposes.</w:t>
      </w:r>
    </w:p>
    <w:p>
      <w:pPr>
        <w:keepLines w:val="0"/>
        <w:spacing w:after="120" w:line="276" w:lineRule="auto"/>
        <w:jc w:val="both"/>
        <w:suppressAutoHyphens w:val="1"/>
      </w:pPr>
      <w:r>
        <w:rPr>
          <w:rFonts w:ascii="Aptos" w:hAnsi="Aptos" w:eastAsia="Aptos"/>
          <w:b w:val="0"/>
          <w:sz w:val="22"/>
        </w:rPr>
        <w:t>Unless expressly agreed in writing and lawfully permitted, Trade Base Hub does not provide:</w:t>
      </w:r>
    </w:p>
    <w:p>
      <w:pPr>
        <w:pStyle w:val="ListBullet"/>
        <w:spacing w:after="40" w:line="276" w:lineRule="auto"/>
        <w:jc w:val="both"/>
        <w:suppressAutoHyphens w:val="1"/>
      </w:pPr>
      <w:r>
        <w:rPr>
          <w:rFonts w:ascii="Aptos" w:hAnsi="Aptos" w:eastAsia="Aptos"/>
          <w:b w:val="0"/>
          <w:sz w:val="22"/>
        </w:rPr>
        <w:t>regulated investment advice;</w:t>
      </w:r>
    </w:p>
    <w:p>
      <w:pPr>
        <w:pStyle w:val="ListBullet"/>
        <w:spacing w:after="40" w:line="276" w:lineRule="auto"/>
        <w:jc w:val="both"/>
        <w:suppressAutoHyphens w:val="1"/>
      </w:pPr>
      <w:r>
        <w:rPr>
          <w:rFonts w:ascii="Aptos" w:hAnsi="Aptos" w:eastAsia="Aptos"/>
          <w:b w:val="0"/>
          <w:sz w:val="22"/>
        </w:rPr>
        <w:t>securities advice;</w:t>
      </w:r>
    </w:p>
    <w:p>
      <w:pPr>
        <w:pStyle w:val="ListBullet"/>
        <w:spacing w:after="40" w:line="276" w:lineRule="auto"/>
        <w:jc w:val="both"/>
        <w:suppressAutoHyphens w:val="1"/>
      </w:pPr>
      <w:r>
        <w:rPr>
          <w:rFonts w:ascii="Aptos" w:hAnsi="Aptos" w:eastAsia="Aptos"/>
          <w:b w:val="0"/>
          <w:sz w:val="22"/>
        </w:rPr>
        <w:t>portfolio management;</w:t>
      </w:r>
    </w:p>
    <w:p>
      <w:pPr>
        <w:pStyle w:val="ListBullet"/>
        <w:spacing w:after="40" w:line="276" w:lineRule="auto"/>
        <w:jc w:val="both"/>
        <w:suppressAutoHyphens w:val="1"/>
      </w:pPr>
      <w:r>
        <w:rPr>
          <w:rFonts w:ascii="Aptos" w:hAnsi="Aptos" w:eastAsia="Aptos"/>
          <w:b w:val="0"/>
          <w:sz w:val="22"/>
        </w:rPr>
        <w:t>personal financial advice;</w:t>
      </w:r>
    </w:p>
    <w:p>
      <w:pPr>
        <w:pStyle w:val="ListBullet"/>
        <w:spacing w:after="40" w:line="276" w:lineRule="auto"/>
        <w:jc w:val="both"/>
        <w:suppressAutoHyphens w:val="1"/>
      </w:pPr>
      <w:r>
        <w:rPr>
          <w:rFonts w:ascii="Aptos" w:hAnsi="Aptos" w:eastAsia="Aptos"/>
          <w:b w:val="0"/>
          <w:sz w:val="22"/>
        </w:rPr>
        <w:t>investment recommendations;</w:t>
      </w:r>
    </w:p>
    <w:p>
      <w:pPr>
        <w:pStyle w:val="ListBullet"/>
        <w:spacing w:after="40" w:line="276" w:lineRule="auto"/>
        <w:jc w:val="both"/>
        <w:suppressAutoHyphens w:val="1"/>
      </w:pPr>
      <w:r>
        <w:rPr>
          <w:rFonts w:ascii="Aptos" w:hAnsi="Aptos" w:eastAsia="Aptos"/>
          <w:b w:val="0"/>
          <w:sz w:val="22"/>
        </w:rPr>
        <w:t>tax advice;</w:t>
      </w:r>
    </w:p>
    <w:p>
      <w:pPr>
        <w:pStyle w:val="ListBullet"/>
        <w:spacing w:after="40" w:line="276" w:lineRule="auto"/>
        <w:jc w:val="both"/>
        <w:suppressAutoHyphens w:val="1"/>
      </w:pPr>
      <w:r>
        <w:rPr>
          <w:rFonts w:ascii="Aptos" w:hAnsi="Aptos" w:eastAsia="Aptos"/>
          <w:b w:val="0"/>
          <w:sz w:val="22"/>
        </w:rPr>
        <w:t>accounting advice;</w:t>
      </w:r>
    </w:p>
    <w:p>
      <w:pPr>
        <w:pStyle w:val="ListBullet"/>
        <w:spacing w:after="40" w:line="276" w:lineRule="auto"/>
        <w:jc w:val="both"/>
        <w:suppressAutoHyphens w:val="1"/>
      </w:pPr>
      <w:r>
        <w:rPr>
          <w:rFonts w:ascii="Aptos" w:hAnsi="Aptos" w:eastAsia="Aptos"/>
          <w:b w:val="0"/>
          <w:sz w:val="22"/>
        </w:rPr>
        <w:t>regulated credit advice; or</w:t>
      </w:r>
    </w:p>
    <w:p>
      <w:pPr>
        <w:pStyle w:val="ListBullet"/>
        <w:spacing w:after="40" w:line="276" w:lineRule="auto"/>
        <w:jc w:val="both"/>
        <w:suppressAutoHyphens w:val="1"/>
      </w:pPr>
      <w:r>
        <w:rPr>
          <w:rFonts w:ascii="Aptos" w:hAnsi="Aptos" w:eastAsia="Aptos"/>
          <w:b w:val="0"/>
          <w:sz w:val="22"/>
        </w:rPr>
        <w:t>recommendations to purchase, sell or hold securities, financial instruments, digital assets or investments.</w:t>
      </w:r>
    </w:p>
    <w:p>
      <w:pPr>
        <w:keepLines w:val="0"/>
        <w:spacing w:after="120" w:line="276" w:lineRule="auto"/>
        <w:jc w:val="both"/>
        <w:suppressAutoHyphens w:val="1"/>
      </w:pPr>
      <w:r>
        <w:rPr>
          <w:rFonts w:ascii="Aptos" w:hAnsi="Aptos" w:eastAsia="Aptos"/>
          <w:b w:val="0"/>
          <w:sz w:val="22"/>
        </w:rPr>
        <w:t>Nothing contained on the Trade Base Hub website, Whop environment, Discord server, documents or communications should be interpreted as an invitation, recommendation or inducement to undertake a regulated investment activity.</w:t>
      </w:r>
    </w:p>
    <w:p>
      <w:pPr>
        <w:keepLines w:val="0"/>
        <w:spacing w:after="120" w:line="276" w:lineRule="auto"/>
        <w:jc w:val="both"/>
        <w:suppressAutoHyphens w:val="1"/>
      </w:pPr>
      <w:r>
        <w:rPr>
          <w:rFonts w:ascii="Aptos" w:hAnsi="Aptos" w:eastAsia="Aptos"/>
          <w:b w:val="0"/>
          <w:sz w:val="22"/>
        </w:rPr>
        <w:t>Users should obtain appropriately qualified independent professional advice where required.</w:t>
      </w:r>
    </w:p>
    <w:p>
      <w:pPr>
        <w:pStyle w:val="Heading1"/>
        <w:keepNext/>
        <w:spacing w:before="200" w:after="120"/>
        <w:suppressAutoHyphens w:val="1"/>
      </w:pPr>
      <w:r>
        <w:rPr>
          <w:rFonts w:ascii="Aptos" w:hAnsi="Aptos" w:eastAsia="Aptos"/>
          <w:b/>
          <w:color w:val="0F2A41"/>
          <w:sz w:val="32"/>
        </w:rPr>
        <w:t>5. NO LEGAL REPRESENTATION</w:t>
      </w:r>
    </w:p>
    <w:p>
      <w:pPr>
        <w:keepLines w:val="0"/>
        <w:spacing w:after="120" w:line="276" w:lineRule="auto"/>
        <w:jc w:val="both"/>
        <w:suppressAutoHyphens w:val="1"/>
      </w:pPr>
      <w:r>
        <w:rPr>
          <w:rFonts w:ascii="Aptos" w:hAnsi="Aptos" w:eastAsia="Aptos"/>
          <w:b w:val="0"/>
          <w:sz w:val="22"/>
        </w:rPr>
        <w:t>Trade Base Hub may provide:</w:t>
      </w:r>
    </w:p>
    <w:p>
      <w:pPr>
        <w:pStyle w:val="ListBullet"/>
        <w:spacing w:after="40" w:line="276" w:lineRule="auto"/>
        <w:jc w:val="both"/>
        <w:suppressAutoHyphens w:val="1"/>
      </w:pPr>
      <w:r>
        <w:rPr>
          <w:rFonts w:ascii="Aptos" w:hAnsi="Aptos" w:eastAsia="Aptos"/>
          <w:b w:val="0"/>
          <w:sz w:val="22"/>
        </w:rPr>
        <w:t>commercial-document drafting;</w:t>
      </w:r>
    </w:p>
    <w:p>
      <w:pPr>
        <w:pStyle w:val="ListBullet"/>
        <w:spacing w:after="40" w:line="276" w:lineRule="auto"/>
        <w:jc w:val="both"/>
        <w:suppressAutoHyphens w:val="1"/>
      </w:pPr>
      <w:r>
        <w:rPr>
          <w:rFonts w:ascii="Aptos" w:hAnsi="Aptos" w:eastAsia="Aptos"/>
          <w:b w:val="0"/>
          <w:sz w:val="22"/>
        </w:rPr>
        <w:t>agreement preparation;</w:t>
      </w:r>
    </w:p>
    <w:p>
      <w:pPr>
        <w:pStyle w:val="ListBullet"/>
        <w:spacing w:after="40" w:line="276" w:lineRule="auto"/>
        <w:jc w:val="both"/>
        <w:suppressAutoHyphens w:val="1"/>
      </w:pPr>
      <w:r>
        <w:rPr>
          <w:rFonts w:ascii="Aptos" w:hAnsi="Aptos" w:eastAsia="Aptos"/>
          <w:b w:val="0"/>
          <w:sz w:val="22"/>
        </w:rPr>
        <w:t>document-development support;</w:t>
      </w:r>
    </w:p>
    <w:p>
      <w:pPr>
        <w:pStyle w:val="ListBullet"/>
        <w:spacing w:after="40" w:line="276" w:lineRule="auto"/>
        <w:jc w:val="both"/>
        <w:suppressAutoHyphens w:val="1"/>
      </w:pPr>
      <w:r>
        <w:rPr>
          <w:rFonts w:ascii="Aptos" w:hAnsi="Aptos" w:eastAsia="Aptos"/>
          <w:b w:val="0"/>
          <w:sz w:val="22"/>
        </w:rPr>
        <w:t>document review;</w:t>
      </w:r>
    </w:p>
    <w:p>
      <w:pPr>
        <w:pStyle w:val="ListBullet"/>
        <w:spacing w:after="40" w:line="276" w:lineRule="auto"/>
        <w:jc w:val="both"/>
        <w:suppressAutoHyphens w:val="1"/>
      </w:pPr>
      <w:r>
        <w:rPr>
          <w:rFonts w:ascii="Aptos" w:hAnsi="Aptos" w:eastAsia="Aptos"/>
          <w:b w:val="0"/>
          <w:sz w:val="22"/>
        </w:rPr>
        <w:t>transaction-structure support; and</w:t>
      </w:r>
    </w:p>
    <w:p>
      <w:pPr>
        <w:pStyle w:val="ListBullet"/>
        <w:spacing w:after="40" w:line="276" w:lineRule="auto"/>
        <w:jc w:val="both"/>
        <w:suppressAutoHyphens w:val="1"/>
      </w:pPr>
      <w:r>
        <w:rPr>
          <w:rFonts w:ascii="Aptos" w:hAnsi="Aptos" w:eastAsia="Aptos"/>
          <w:b w:val="0"/>
          <w:sz w:val="22"/>
        </w:rPr>
        <w:t>commercially oriented drafting assistance.</w:t>
      </w:r>
    </w:p>
    <w:p>
      <w:pPr>
        <w:keepLines w:val="0"/>
        <w:spacing w:after="120" w:line="276" w:lineRule="auto"/>
        <w:jc w:val="both"/>
        <w:suppressAutoHyphens w:val="1"/>
      </w:pPr>
      <w:r>
        <w:rPr>
          <w:rFonts w:ascii="Aptos" w:hAnsi="Aptos" w:eastAsia="Aptos"/>
          <w:b w:val="0"/>
          <w:sz w:val="22"/>
        </w:rPr>
        <w:t>Unless expressly stated otherwise in a separate written engagement with a qualified legal practitioner, these services do not constitute legal representation or jurisdiction-specific legal advice.</w:t>
      </w:r>
    </w:p>
    <w:p>
      <w:pPr>
        <w:keepLines w:val="0"/>
        <w:spacing w:after="120" w:line="276" w:lineRule="auto"/>
        <w:jc w:val="both"/>
        <w:suppressAutoHyphens w:val="1"/>
      </w:pPr>
      <w:r>
        <w:rPr>
          <w:rFonts w:ascii="Aptos" w:hAnsi="Aptos" w:eastAsia="Aptos"/>
          <w:b w:val="0"/>
          <w:sz w:val="22"/>
        </w:rPr>
        <w:t>Trade Base Hub is not acting as a law firm merely because it assists in drafting or reviewing commercial documents.</w:t>
      </w:r>
    </w:p>
    <w:p>
      <w:pPr>
        <w:keepLines w:val="0"/>
        <w:spacing w:after="120" w:line="276" w:lineRule="auto"/>
        <w:jc w:val="both"/>
        <w:suppressAutoHyphens w:val="1"/>
      </w:pPr>
      <w:r>
        <w:rPr>
          <w:rFonts w:ascii="Aptos" w:hAnsi="Aptos" w:eastAsia="Aptos"/>
          <w:b w:val="0"/>
          <w:sz w:val="22"/>
        </w:rPr>
        <w:t>Clients remain responsible for determining whether independent legal advice is required before executing any agreement.</w:t>
      </w:r>
    </w:p>
    <w:p>
      <w:pPr>
        <w:keepLines w:val="0"/>
        <w:spacing w:after="120" w:line="276" w:lineRule="auto"/>
        <w:jc w:val="both"/>
        <w:suppressAutoHyphens w:val="1"/>
      </w:pPr>
      <w:r>
        <w:rPr>
          <w:rFonts w:ascii="Aptos" w:hAnsi="Aptos" w:eastAsia="Aptos"/>
          <w:b w:val="0"/>
          <w:sz w:val="22"/>
        </w:rPr>
        <w:t>Where an agreement may create material legal obligations, cross-border obligations, significant financial exposure or regulatory consequences, independent legal review is strongly recommended before execution.</w:t>
      </w:r>
    </w:p>
    <w:p>
      <w:pPr>
        <w:pStyle w:val="Heading1"/>
        <w:keepNext/>
        <w:spacing w:before="200" w:after="120"/>
        <w:suppressAutoHyphens w:val="1"/>
      </w:pPr>
      <w:r>
        <w:rPr>
          <w:rFonts w:ascii="Aptos" w:hAnsi="Aptos" w:eastAsia="Aptos"/>
          <w:b/>
          <w:color w:val="0F2A41"/>
          <w:sz w:val="32"/>
        </w:rPr>
        <w:t>6. NO BROKER, DEALER OR PRINCIPAL STATUS BY DEFAULT</w:t>
      </w:r>
    </w:p>
    <w:p>
      <w:pPr>
        <w:keepLines w:val="0"/>
        <w:spacing w:after="120" w:line="276" w:lineRule="auto"/>
        <w:jc w:val="both"/>
        <w:suppressAutoHyphens w:val="1"/>
      </w:pPr>
      <w:r>
        <w:rPr>
          <w:rFonts w:ascii="Aptos" w:hAnsi="Aptos" w:eastAsia="Aptos"/>
          <w:b w:val="0"/>
          <w:sz w:val="22"/>
        </w:rPr>
        <w:t>Trade Base Hub's involvement in a commercial opportunity does not, by itself, make Trade Base Hub:</w:t>
      </w:r>
    </w:p>
    <w:p>
      <w:pPr>
        <w:pStyle w:val="ListBullet"/>
        <w:spacing w:after="40" w:line="276" w:lineRule="auto"/>
        <w:jc w:val="both"/>
        <w:suppressAutoHyphens w:val="1"/>
      </w:pPr>
      <w:r>
        <w:rPr>
          <w:rFonts w:ascii="Aptos" w:hAnsi="Aptos" w:eastAsia="Aptos"/>
          <w:b w:val="0"/>
          <w:sz w:val="22"/>
        </w:rPr>
        <w:t>the buyer;</w:t>
      </w:r>
    </w:p>
    <w:p>
      <w:pPr>
        <w:pStyle w:val="ListBullet"/>
        <w:spacing w:after="40" w:line="276" w:lineRule="auto"/>
        <w:jc w:val="both"/>
        <w:suppressAutoHyphens w:val="1"/>
      </w:pPr>
      <w:r>
        <w:rPr>
          <w:rFonts w:ascii="Aptos" w:hAnsi="Aptos" w:eastAsia="Aptos"/>
          <w:b w:val="0"/>
          <w:sz w:val="22"/>
        </w:rPr>
        <w:t>the seller;</w:t>
      </w:r>
    </w:p>
    <w:p>
      <w:pPr>
        <w:pStyle w:val="ListBullet"/>
        <w:spacing w:after="40" w:line="276" w:lineRule="auto"/>
        <w:jc w:val="both"/>
        <w:suppressAutoHyphens w:val="1"/>
      </w:pPr>
      <w:r>
        <w:rPr>
          <w:rFonts w:ascii="Aptos" w:hAnsi="Aptos" w:eastAsia="Aptos"/>
          <w:b w:val="0"/>
          <w:sz w:val="22"/>
        </w:rPr>
        <w:t>the lender;</w:t>
      </w:r>
    </w:p>
    <w:p>
      <w:pPr>
        <w:pStyle w:val="ListBullet"/>
        <w:spacing w:after="40" w:line="276" w:lineRule="auto"/>
        <w:jc w:val="both"/>
        <w:suppressAutoHyphens w:val="1"/>
      </w:pPr>
      <w:r>
        <w:rPr>
          <w:rFonts w:ascii="Aptos" w:hAnsi="Aptos" w:eastAsia="Aptos"/>
          <w:b w:val="0"/>
          <w:sz w:val="22"/>
        </w:rPr>
        <w:t>the borrower;</w:t>
      </w:r>
    </w:p>
    <w:p>
      <w:pPr>
        <w:pStyle w:val="ListBullet"/>
        <w:spacing w:after="40" w:line="276" w:lineRule="auto"/>
        <w:jc w:val="both"/>
        <w:suppressAutoHyphens w:val="1"/>
      </w:pPr>
      <w:r>
        <w:rPr>
          <w:rFonts w:ascii="Aptos" w:hAnsi="Aptos" w:eastAsia="Aptos"/>
          <w:b w:val="0"/>
          <w:sz w:val="22"/>
        </w:rPr>
        <w:t>the investor;</w:t>
      </w:r>
    </w:p>
    <w:p>
      <w:pPr>
        <w:pStyle w:val="ListBullet"/>
        <w:spacing w:after="40" w:line="276" w:lineRule="auto"/>
        <w:jc w:val="both"/>
        <w:suppressAutoHyphens w:val="1"/>
      </w:pPr>
      <w:r>
        <w:rPr>
          <w:rFonts w:ascii="Aptos" w:hAnsi="Aptos" w:eastAsia="Aptos"/>
          <w:b w:val="0"/>
          <w:sz w:val="22"/>
        </w:rPr>
        <w:t>the issuer;</w:t>
      </w:r>
    </w:p>
    <w:p>
      <w:pPr>
        <w:pStyle w:val="ListBullet"/>
        <w:spacing w:after="40" w:line="276" w:lineRule="auto"/>
        <w:jc w:val="both"/>
        <w:suppressAutoHyphens w:val="1"/>
      </w:pPr>
      <w:r>
        <w:rPr>
          <w:rFonts w:ascii="Aptos" w:hAnsi="Aptos" w:eastAsia="Aptos"/>
          <w:b w:val="0"/>
          <w:sz w:val="22"/>
        </w:rPr>
        <w:t>the broker-dealer;</w:t>
      </w:r>
    </w:p>
    <w:p>
      <w:pPr>
        <w:pStyle w:val="ListBullet"/>
        <w:spacing w:after="40" w:line="276" w:lineRule="auto"/>
        <w:jc w:val="both"/>
        <w:suppressAutoHyphens w:val="1"/>
      </w:pPr>
      <w:r>
        <w:rPr>
          <w:rFonts w:ascii="Aptos" w:hAnsi="Aptos" w:eastAsia="Aptos"/>
          <w:b w:val="0"/>
          <w:sz w:val="22"/>
        </w:rPr>
        <w:t>the commodity dealer;</w:t>
      </w:r>
    </w:p>
    <w:p>
      <w:pPr>
        <w:pStyle w:val="ListBullet"/>
        <w:spacing w:after="40" w:line="276" w:lineRule="auto"/>
        <w:jc w:val="both"/>
        <w:suppressAutoHyphens w:val="1"/>
      </w:pPr>
      <w:r>
        <w:rPr>
          <w:rFonts w:ascii="Aptos" w:hAnsi="Aptos" w:eastAsia="Aptos"/>
          <w:b w:val="0"/>
          <w:sz w:val="22"/>
        </w:rPr>
        <w:t>the financial intermediary;</w:t>
      </w:r>
    </w:p>
    <w:p>
      <w:pPr>
        <w:pStyle w:val="ListBullet"/>
        <w:spacing w:after="40" w:line="276" w:lineRule="auto"/>
        <w:jc w:val="both"/>
        <w:suppressAutoHyphens w:val="1"/>
      </w:pPr>
      <w:r>
        <w:rPr>
          <w:rFonts w:ascii="Aptos" w:hAnsi="Aptos" w:eastAsia="Aptos"/>
          <w:b w:val="0"/>
          <w:sz w:val="22"/>
        </w:rPr>
        <w:t>the mandate;</w:t>
      </w:r>
    </w:p>
    <w:p>
      <w:pPr>
        <w:pStyle w:val="ListBullet"/>
        <w:spacing w:after="40" w:line="276" w:lineRule="auto"/>
        <w:jc w:val="both"/>
        <w:suppressAutoHyphens w:val="1"/>
      </w:pPr>
      <w:r>
        <w:rPr>
          <w:rFonts w:ascii="Aptos" w:hAnsi="Aptos" w:eastAsia="Aptos"/>
          <w:b w:val="0"/>
          <w:sz w:val="22"/>
        </w:rPr>
        <w:t>the authorised representative; or</w:t>
      </w:r>
    </w:p>
    <w:p>
      <w:pPr>
        <w:pStyle w:val="ListBullet"/>
        <w:spacing w:after="40" w:line="276" w:lineRule="auto"/>
        <w:jc w:val="both"/>
        <w:suppressAutoHyphens w:val="1"/>
      </w:pPr>
      <w:r>
        <w:rPr>
          <w:rFonts w:ascii="Aptos" w:hAnsi="Aptos" w:eastAsia="Aptos"/>
          <w:b w:val="0"/>
          <w:sz w:val="22"/>
        </w:rPr>
        <w:t>the principal to the transaction.</w:t>
      </w:r>
    </w:p>
    <w:p>
      <w:pPr>
        <w:keepLines w:val="0"/>
        <w:spacing w:after="120" w:line="276" w:lineRule="auto"/>
        <w:jc w:val="both"/>
        <w:suppressAutoHyphens w:val="1"/>
      </w:pPr>
      <w:r>
        <w:rPr>
          <w:rFonts w:ascii="Aptos" w:hAnsi="Aptos" w:eastAsia="Aptos"/>
          <w:b w:val="0"/>
          <w:sz w:val="22"/>
        </w:rPr>
        <w:t>Any such role must be expressly established through a separate written agreement where legally permissible.</w:t>
      </w:r>
    </w:p>
    <w:p>
      <w:pPr>
        <w:keepLines w:val="0"/>
        <w:spacing w:after="120" w:line="276" w:lineRule="auto"/>
        <w:jc w:val="both"/>
        <w:suppressAutoHyphens w:val="1"/>
      </w:pPr>
      <w:r>
        <w:rPr>
          <w:rFonts w:ascii="Aptos" w:hAnsi="Aptos" w:eastAsia="Aptos"/>
          <w:b w:val="0"/>
          <w:sz w:val="22"/>
        </w:rPr>
        <w:t>The identities, responsibilities and authority of transaction participants remain governed by the applicable transaction documents.</w:t>
      </w:r>
    </w:p>
    <w:p>
      <w:pPr>
        <w:pStyle w:val="Heading1"/>
        <w:keepNext/>
        <w:spacing w:before="200" w:after="120"/>
        <w:suppressAutoHyphens w:val="1"/>
      </w:pPr>
      <w:r>
        <w:rPr>
          <w:rFonts w:ascii="Aptos" w:hAnsi="Aptos" w:eastAsia="Aptos"/>
          <w:b/>
          <w:color w:val="0F2A41"/>
          <w:sz w:val="32"/>
        </w:rPr>
        <w:t>7. NO GUARANTEE OF TRANSACTION SUCCESS</w:t>
      </w:r>
    </w:p>
    <w:p>
      <w:pPr>
        <w:keepLines w:val="0"/>
        <w:spacing w:after="120" w:line="276" w:lineRule="auto"/>
        <w:jc w:val="both"/>
        <w:suppressAutoHyphens w:val="1"/>
      </w:pPr>
      <w:r>
        <w:rPr>
          <w:rFonts w:ascii="Aptos" w:hAnsi="Aptos" w:eastAsia="Aptos"/>
          <w:b w:val="0"/>
          <w:sz w:val="22"/>
        </w:rPr>
        <w:t>Trade Base Hub provides an environment intended to improve transaction organisation, documentation, accountability and progression.</w:t>
      </w:r>
    </w:p>
    <w:p>
      <w:pPr>
        <w:keepLines w:val="0"/>
        <w:spacing w:after="120" w:line="276" w:lineRule="auto"/>
        <w:jc w:val="both"/>
        <w:suppressAutoHyphens w:val="1"/>
      </w:pPr>
      <w:r>
        <w:rPr>
          <w:rFonts w:ascii="Aptos" w:hAnsi="Aptos" w:eastAsia="Aptos"/>
          <w:b w:val="0"/>
          <w:sz w:val="22"/>
        </w:rPr>
        <w:t>Trade Base Hub does not guarantee:</w:t>
      </w:r>
    </w:p>
    <w:p>
      <w:pPr>
        <w:pStyle w:val="ListBullet"/>
        <w:spacing w:after="40" w:line="276" w:lineRule="auto"/>
        <w:jc w:val="both"/>
        <w:suppressAutoHyphens w:val="1"/>
      </w:pPr>
      <w:r>
        <w:rPr>
          <w:rFonts w:ascii="Aptos" w:hAnsi="Aptos" w:eastAsia="Aptos"/>
          <w:b w:val="0"/>
          <w:sz w:val="22"/>
        </w:rPr>
        <w:t>successful completion of any transaction;</w:t>
      </w:r>
    </w:p>
    <w:p>
      <w:pPr>
        <w:pStyle w:val="ListBullet"/>
        <w:spacing w:after="40" w:line="276" w:lineRule="auto"/>
        <w:jc w:val="both"/>
        <w:suppressAutoHyphens w:val="1"/>
      </w:pPr>
      <w:r>
        <w:rPr>
          <w:rFonts w:ascii="Aptos" w:hAnsi="Aptos" w:eastAsia="Aptos"/>
          <w:b w:val="0"/>
          <w:sz w:val="22"/>
        </w:rPr>
        <w:t>execution of an agreement;</w:t>
      </w:r>
    </w:p>
    <w:p>
      <w:pPr>
        <w:pStyle w:val="ListBullet"/>
        <w:spacing w:after="40" w:line="276" w:lineRule="auto"/>
        <w:jc w:val="both"/>
        <w:suppressAutoHyphens w:val="1"/>
      </w:pPr>
      <w:r>
        <w:rPr>
          <w:rFonts w:ascii="Aptos" w:hAnsi="Aptos" w:eastAsia="Aptos"/>
          <w:b w:val="0"/>
          <w:sz w:val="22"/>
        </w:rPr>
        <w:t>availability of goods or assets;</w:t>
      </w:r>
    </w:p>
    <w:p>
      <w:pPr>
        <w:pStyle w:val="ListBullet"/>
        <w:spacing w:after="40" w:line="276" w:lineRule="auto"/>
        <w:jc w:val="both"/>
        <w:suppressAutoHyphens w:val="1"/>
      </w:pPr>
      <w:r>
        <w:rPr>
          <w:rFonts w:ascii="Aptos" w:hAnsi="Aptos" w:eastAsia="Aptos"/>
          <w:b w:val="0"/>
          <w:sz w:val="22"/>
        </w:rPr>
        <w:t>availability of funds;</w:t>
      </w:r>
    </w:p>
    <w:p>
      <w:pPr>
        <w:pStyle w:val="ListBullet"/>
        <w:spacing w:after="40" w:line="276" w:lineRule="auto"/>
        <w:jc w:val="both"/>
        <w:suppressAutoHyphens w:val="1"/>
      </w:pPr>
      <w:r>
        <w:rPr>
          <w:rFonts w:ascii="Aptos" w:hAnsi="Aptos" w:eastAsia="Aptos"/>
          <w:b w:val="0"/>
          <w:sz w:val="22"/>
        </w:rPr>
        <w:t>authenticity of documents;</w:t>
      </w:r>
    </w:p>
    <w:p>
      <w:pPr>
        <w:pStyle w:val="ListBullet"/>
        <w:spacing w:after="40" w:line="276" w:lineRule="auto"/>
        <w:jc w:val="both"/>
        <w:suppressAutoHyphens w:val="1"/>
      </w:pPr>
      <w:r>
        <w:rPr>
          <w:rFonts w:ascii="Aptos" w:hAnsi="Aptos" w:eastAsia="Aptos"/>
          <w:b w:val="0"/>
          <w:sz w:val="22"/>
        </w:rPr>
        <w:t>performance of counterparties;</w:t>
      </w:r>
    </w:p>
    <w:p>
      <w:pPr>
        <w:pStyle w:val="ListBullet"/>
        <w:spacing w:after="40" w:line="276" w:lineRule="auto"/>
        <w:jc w:val="both"/>
        <w:suppressAutoHyphens w:val="1"/>
      </w:pPr>
      <w:r>
        <w:rPr>
          <w:rFonts w:ascii="Aptos" w:hAnsi="Aptos" w:eastAsia="Aptos"/>
          <w:b w:val="0"/>
          <w:sz w:val="22"/>
        </w:rPr>
        <w:t>successful banking verification;</w:t>
      </w:r>
    </w:p>
    <w:p>
      <w:pPr>
        <w:pStyle w:val="ListBullet"/>
        <w:spacing w:after="40" w:line="276" w:lineRule="auto"/>
        <w:jc w:val="both"/>
        <w:suppressAutoHyphens w:val="1"/>
      </w:pPr>
      <w:r>
        <w:rPr>
          <w:rFonts w:ascii="Aptos" w:hAnsi="Aptos" w:eastAsia="Aptos"/>
          <w:b w:val="0"/>
          <w:sz w:val="22"/>
        </w:rPr>
        <w:t>regulatory approval;</w:t>
      </w:r>
    </w:p>
    <w:p>
      <w:pPr>
        <w:pStyle w:val="ListBullet"/>
        <w:spacing w:after="40" w:line="276" w:lineRule="auto"/>
        <w:jc w:val="both"/>
        <w:suppressAutoHyphens w:val="1"/>
      </w:pPr>
      <w:r>
        <w:rPr>
          <w:rFonts w:ascii="Aptos" w:hAnsi="Aptos" w:eastAsia="Aptos"/>
          <w:b w:val="0"/>
          <w:sz w:val="22"/>
        </w:rPr>
        <w:t>financing;</w:t>
      </w:r>
    </w:p>
    <w:p>
      <w:pPr>
        <w:pStyle w:val="ListBullet"/>
        <w:spacing w:after="40" w:line="276" w:lineRule="auto"/>
        <w:jc w:val="both"/>
        <w:suppressAutoHyphens w:val="1"/>
      </w:pPr>
      <w:r>
        <w:rPr>
          <w:rFonts w:ascii="Aptos" w:hAnsi="Aptos" w:eastAsia="Aptos"/>
          <w:b w:val="0"/>
          <w:sz w:val="22"/>
        </w:rPr>
        <w:t>commercial close;</w:t>
      </w:r>
    </w:p>
    <w:p>
      <w:pPr>
        <w:pStyle w:val="ListBullet"/>
        <w:spacing w:after="40" w:line="276" w:lineRule="auto"/>
        <w:jc w:val="both"/>
        <w:suppressAutoHyphens w:val="1"/>
      </w:pPr>
      <w:r>
        <w:rPr>
          <w:rFonts w:ascii="Aptos" w:hAnsi="Aptos" w:eastAsia="Aptos"/>
          <w:b w:val="0"/>
          <w:sz w:val="22"/>
        </w:rPr>
        <w:t>financial close;</w:t>
      </w:r>
    </w:p>
    <w:p>
      <w:pPr>
        <w:pStyle w:val="ListBullet"/>
        <w:spacing w:after="40" w:line="276" w:lineRule="auto"/>
        <w:jc w:val="both"/>
        <w:suppressAutoHyphens w:val="1"/>
      </w:pPr>
      <w:r>
        <w:rPr>
          <w:rFonts w:ascii="Aptos" w:hAnsi="Aptos" w:eastAsia="Aptos"/>
          <w:b w:val="0"/>
          <w:sz w:val="22"/>
        </w:rPr>
        <w:t>payment of fees or commissions;</w:t>
      </w:r>
    </w:p>
    <w:p>
      <w:pPr>
        <w:pStyle w:val="ListBullet"/>
        <w:spacing w:after="40" w:line="276" w:lineRule="auto"/>
        <w:jc w:val="both"/>
        <w:suppressAutoHyphens w:val="1"/>
      </w:pPr>
      <w:r>
        <w:rPr>
          <w:rFonts w:ascii="Aptos" w:hAnsi="Aptos" w:eastAsia="Aptos"/>
          <w:b w:val="0"/>
          <w:sz w:val="22"/>
        </w:rPr>
        <w:t>profitability; or</w:t>
      </w:r>
    </w:p>
    <w:p>
      <w:pPr>
        <w:pStyle w:val="ListBullet"/>
        <w:spacing w:after="40" w:line="276" w:lineRule="auto"/>
        <w:jc w:val="both"/>
        <w:suppressAutoHyphens w:val="1"/>
      </w:pPr>
      <w:r>
        <w:rPr>
          <w:rFonts w:ascii="Aptos" w:hAnsi="Aptos" w:eastAsia="Aptos"/>
          <w:b w:val="0"/>
          <w:sz w:val="22"/>
        </w:rPr>
        <w:t>any particular commercial result.</w:t>
      </w:r>
    </w:p>
    <w:p>
      <w:pPr>
        <w:keepLines w:val="0"/>
        <w:spacing w:after="120" w:line="276" w:lineRule="auto"/>
        <w:jc w:val="both"/>
        <w:suppressAutoHyphens w:val="1"/>
      </w:pPr>
      <w:r>
        <w:rPr>
          <w:rFonts w:ascii="Aptos" w:hAnsi="Aptos" w:eastAsia="Aptos"/>
          <w:b w:val="0"/>
          <w:sz w:val="22"/>
        </w:rPr>
        <w:t>Commercial transactions inherently involve risk.</w:t>
      </w:r>
    </w:p>
    <w:p>
      <w:pPr>
        <w:keepLines w:val="0"/>
        <w:spacing w:after="120" w:line="276" w:lineRule="auto"/>
        <w:jc w:val="both"/>
        <w:suppressAutoHyphens w:val="1"/>
      </w:pPr>
      <w:r>
        <w:rPr>
          <w:rFonts w:ascii="Aptos" w:hAnsi="Aptos" w:eastAsia="Aptos"/>
          <w:b w:val="0"/>
          <w:sz w:val="22"/>
        </w:rPr>
        <w:t>Each participant remains responsible for its own commercial decisions.</w:t>
      </w:r>
    </w:p>
    <w:p>
      <w:pPr>
        <w:pStyle w:val="Heading1"/>
        <w:keepNext/>
        <w:spacing w:before="200" w:after="120"/>
        <w:suppressAutoHyphens w:val="1"/>
      </w:pPr>
      <w:r>
        <w:rPr>
          <w:rFonts w:ascii="Aptos" w:hAnsi="Aptos" w:eastAsia="Aptos"/>
          <w:b/>
          <w:color w:val="0F2A41"/>
          <w:sz w:val="32"/>
        </w:rPr>
        <w:t>8. COUNTERPARTY INFORMATION AND VERIFICATION</w:t>
      </w:r>
    </w:p>
    <w:p>
      <w:pPr>
        <w:keepLines w:val="0"/>
        <w:spacing w:after="120" w:line="276" w:lineRule="auto"/>
        <w:jc w:val="both"/>
        <w:suppressAutoHyphens w:val="1"/>
      </w:pPr>
      <w:r>
        <w:rPr>
          <w:rFonts w:ascii="Aptos" w:hAnsi="Aptos" w:eastAsia="Aptos"/>
          <w:b w:val="0"/>
          <w:sz w:val="22"/>
        </w:rPr>
        <w:t>Trade Base Hub may collect, organise, review or facilitate verification of:</w:t>
      </w:r>
    </w:p>
    <w:p>
      <w:pPr>
        <w:pStyle w:val="ListBullet"/>
        <w:spacing w:after="40" w:line="276" w:lineRule="auto"/>
        <w:jc w:val="both"/>
        <w:suppressAutoHyphens w:val="1"/>
      </w:pPr>
      <w:r>
        <w:rPr>
          <w:rFonts w:ascii="Aptos" w:hAnsi="Aptos" w:eastAsia="Aptos"/>
          <w:b w:val="0"/>
          <w:sz w:val="22"/>
        </w:rPr>
        <w:t>CIS/KYC information;</w:t>
      </w:r>
    </w:p>
    <w:p>
      <w:pPr>
        <w:pStyle w:val="ListBullet"/>
        <w:spacing w:after="40" w:line="276" w:lineRule="auto"/>
        <w:jc w:val="both"/>
        <w:suppressAutoHyphens w:val="1"/>
      </w:pPr>
      <w:r>
        <w:rPr>
          <w:rFonts w:ascii="Aptos" w:hAnsi="Aptos" w:eastAsia="Aptos"/>
          <w:b w:val="0"/>
          <w:sz w:val="22"/>
        </w:rPr>
        <w:t>corporate documents;</w:t>
      </w:r>
    </w:p>
    <w:p>
      <w:pPr>
        <w:pStyle w:val="ListBullet"/>
        <w:spacing w:after="40" w:line="276" w:lineRule="auto"/>
        <w:jc w:val="both"/>
        <w:suppressAutoHyphens w:val="1"/>
      </w:pPr>
      <w:r>
        <w:rPr>
          <w:rFonts w:ascii="Aptos" w:hAnsi="Aptos" w:eastAsia="Aptos"/>
          <w:b w:val="0"/>
          <w:sz w:val="22"/>
        </w:rPr>
        <w:t>identification documents;</w:t>
      </w:r>
    </w:p>
    <w:p>
      <w:pPr>
        <w:pStyle w:val="ListBullet"/>
        <w:spacing w:after="40" w:line="276" w:lineRule="auto"/>
        <w:jc w:val="both"/>
        <w:suppressAutoHyphens w:val="1"/>
      </w:pPr>
      <w:r>
        <w:rPr>
          <w:rFonts w:ascii="Aptos" w:hAnsi="Aptos" w:eastAsia="Aptos"/>
          <w:b w:val="0"/>
          <w:sz w:val="22"/>
        </w:rPr>
        <w:t>mandates;</w:t>
      </w:r>
    </w:p>
    <w:p>
      <w:pPr>
        <w:pStyle w:val="ListBullet"/>
        <w:spacing w:after="40" w:line="276" w:lineRule="auto"/>
        <w:jc w:val="both"/>
        <w:suppressAutoHyphens w:val="1"/>
      </w:pPr>
      <w:r>
        <w:rPr>
          <w:rFonts w:ascii="Aptos" w:hAnsi="Aptos" w:eastAsia="Aptos"/>
          <w:b w:val="0"/>
          <w:sz w:val="22"/>
        </w:rPr>
        <w:t>representation authorities;</w:t>
      </w:r>
    </w:p>
    <w:p>
      <w:pPr>
        <w:pStyle w:val="ListBullet"/>
        <w:spacing w:after="40" w:line="276" w:lineRule="auto"/>
        <w:jc w:val="both"/>
        <w:suppressAutoHyphens w:val="1"/>
      </w:pPr>
      <w:r>
        <w:rPr>
          <w:rFonts w:ascii="Aptos" w:hAnsi="Aptos" w:eastAsia="Aptos"/>
          <w:b w:val="0"/>
          <w:sz w:val="22"/>
        </w:rPr>
        <w:t>Proof of Funds;</w:t>
      </w:r>
    </w:p>
    <w:p>
      <w:pPr>
        <w:pStyle w:val="ListBullet"/>
        <w:spacing w:after="40" w:line="276" w:lineRule="auto"/>
        <w:jc w:val="both"/>
        <w:suppressAutoHyphens w:val="1"/>
      </w:pPr>
      <w:r>
        <w:rPr>
          <w:rFonts w:ascii="Aptos" w:hAnsi="Aptos" w:eastAsia="Aptos"/>
          <w:b w:val="0"/>
          <w:sz w:val="22"/>
        </w:rPr>
        <w:t>Proof of Product;</w:t>
      </w:r>
    </w:p>
    <w:p>
      <w:pPr>
        <w:pStyle w:val="ListBullet"/>
        <w:spacing w:after="40" w:line="276" w:lineRule="auto"/>
        <w:jc w:val="both"/>
        <w:suppressAutoHyphens w:val="1"/>
      </w:pPr>
      <w:r>
        <w:rPr>
          <w:rFonts w:ascii="Aptos" w:hAnsi="Aptos" w:eastAsia="Aptos"/>
          <w:b w:val="0"/>
          <w:sz w:val="22"/>
        </w:rPr>
        <w:t>bank-related documents;</w:t>
      </w:r>
    </w:p>
    <w:p>
      <w:pPr>
        <w:pStyle w:val="ListBullet"/>
        <w:spacing w:after="40" w:line="276" w:lineRule="auto"/>
        <w:jc w:val="both"/>
        <w:suppressAutoHyphens w:val="1"/>
      </w:pPr>
      <w:r>
        <w:rPr>
          <w:rFonts w:ascii="Aptos" w:hAnsi="Aptos" w:eastAsia="Aptos"/>
          <w:b w:val="0"/>
          <w:sz w:val="22"/>
        </w:rPr>
        <w:t>transaction documents;</w:t>
      </w:r>
    </w:p>
    <w:p>
      <w:pPr>
        <w:pStyle w:val="ListBullet"/>
        <w:spacing w:after="40" w:line="276" w:lineRule="auto"/>
        <w:jc w:val="both"/>
        <w:suppressAutoHyphens w:val="1"/>
      </w:pPr>
      <w:r>
        <w:rPr>
          <w:rFonts w:ascii="Aptos" w:hAnsi="Aptos" w:eastAsia="Aptos"/>
          <w:b w:val="0"/>
          <w:sz w:val="22"/>
        </w:rPr>
        <w:t>broker genealogy;</w:t>
      </w:r>
    </w:p>
    <w:p>
      <w:pPr>
        <w:pStyle w:val="ListBullet"/>
        <w:spacing w:after="40" w:line="276" w:lineRule="auto"/>
        <w:jc w:val="both"/>
        <w:suppressAutoHyphens w:val="1"/>
      </w:pPr>
      <w:r>
        <w:rPr>
          <w:rFonts w:ascii="Aptos" w:hAnsi="Aptos" w:eastAsia="Aptos"/>
          <w:b w:val="0"/>
          <w:sz w:val="22"/>
        </w:rPr>
        <w:t>sanctions information;</w:t>
      </w:r>
    </w:p>
    <w:p>
      <w:pPr>
        <w:pStyle w:val="ListBullet"/>
        <w:spacing w:after="40" w:line="276" w:lineRule="auto"/>
        <w:jc w:val="both"/>
        <w:suppressAutoHyphens w:val="1"/>
      </w:pPr>
      <w:r>
        <w:rPr>
          <w:rFonts w:ascii="Aptos" w:hAnsi="Aptos" w:eastAsia="Aptos"/>
          <w:b w:val="0"/>
          <w:sz w:val="22"/>
        </w:rPr>
        <w:t>PEP information;</w:t>
      </w:r>
    </w:p>
    <w:p>
      <w:pPr>
        <w:pStyle w:val="ListBullet"/>
        <w:spacing w:after="40" w:line="276" w:lineRule="auto"/>
        <w:jc w:val="both"/>
        <w:suppressAutoHyphens w:val="1"/>
      </w:pPr>
      <w:r>
        <w:rPr>
          <w:rFonts w:ascii="Aptos" w:hAnsi="Aptos" w:eastAsia="Aptos"/>
          <w:b w:val="0"/>
          <w:sz w:val="22"/>
        </w:rPr>
        <w:t>adverse information; and</w:t>
      </w:r>
    </w:p>
    <w:p>
      <w:pPr>
        <w:pStyle w:val="ListBullet"/>
        <w:spacing w:after="40" w:line="276" w:lineRule="auto"/>
        <w:jc w:val="both"/>
        <w:suppressAutoHyphens w:val="1"/>
      </w:pPr>
      <w:r>
        <w:rPr>
          <w:rFonts w:ascii="Aptos" w:hAnsi="Aptos" w:eastAsia="Aptos"/>
          <w:b w:val="0"/>
          <w:sz w:val="22"/>
        </w:rPr>
        <w:t>other commercial or compliance records.</w:t>
      </w:r>
    </w:p>
    <w:p>
      <w:pPr>
        <w:keepLines w:val="0"/>
        <w:spacing w:after="120" w:line="276" w:lineRule="auto"/>
        <w:jc w:val="both"/>
        <w:suppressAutoHyphens w:val="1"/>
      </w:pPr>
      <w:r>
        <w:rPr>
          <w:rFonts w:ascii="Aptos" w:hAnsi="Aptos" w:eastAsia="Aptos"/>
          <w:b w:val="0"/>
          <w:sz w:val="22"/>
        </w:rPr>
        <w:t>Such activity is intended to support commercial due diligence and risk management.</w:t>
      </w:r>
    </w:p>
    <w:p>
      <w:pPr>
        <w:keepLines w:val="0"/>
        <w:spacing w:after="120" w:line="276" w:lineRule="auto"/>
        <w:jc w:val="both"/>
        <w:suppressAutoHyphens w:val="1"/>
      </w:pPr>
      <w:r>
        <w:rPr>
          <w:rFonts w:ascii="Aptos" w:hAnsi="Aptos" w:eastAsia="Aptos"/>
          <w:b w:val="0"/>
          <w:sz w:val="22"/>
        </w:rPr>
        <w:t>It does not constitute an absolute certification of authenticity, solvency, creditworthiness, legitimacy or future performance.</w:t>
      </w:r>
    </w:p>
    <w:p>
      <w:pPr>
        <w:keepLines w:val="0"/>
        <w:spacing w:after="120" w:line="276" w:lineRule="auto"/>
        <w:jc w:val="both"/>
        <w:suppressAutoHyphens w:val="1"/>
      </w:pPr>
      <w:r>
        <w:rPr>
          <w:rFonts w:ascii="Aptos" w:hAnsi="Aptos" w:eastAsia="Aptos"/>
          <w:b w:val="0"/>
          <w:sz w:val="22"/>
        </w:rPr>
        <w:t>Verification can reduce risk but cannot eliminate it.</w:t>
      </w:r>
    </w:p>
    <w:p>
      <w:pPr>
        <w:keepLines w:val="0"/>
        <w:spacing w:after="120" w:line="276" w:lineRule="auto"/>
        <w:jc w:val="both"/>
        <w:suppressAutoHyphens w:val="1"/>
      </w:pPr>
      <w:r>
        <w:rPr>
          <w:rFonts w:ascii="Aptos" w:hAnsi="Aptos" w:eastAsia="Aptos"/>
          <w:b w:val="0"/>
          <w:sz w:val="22"/>
        </w:rPr>
        <w:t>Users should independently verify information where material to their decision.</w:t>
      </w:r>
    </w:p>
    <w:p>
      <w:pPr>
        <w:pStyle w:val="Heading1"/>
        <w:keepNext/>
        <w:spacing w:before="200" w:after="120"/>
        <w:suppressAutoHyphens w:val="1"/>
      </w:pPr>
      <w:r>
        <w:rPr>
          <w:rFonts w:ascii="Aptos" w:hAnsi="Aptos" w:eastAsia="Aptos"/>
          <w:b/>
          <w:color w:val="0F2A41"/>
          <w:sz w:val="32"/>
        </w:rPr>
        <w:t>9. PROOF OF FUNDS AND BANKING DOCUMENTS</w:t>
      </w:r>
    </w:p>
    <w:p>
      <w:pPr>
        <w:keepLines w:val="0"/>
        <w:spacing w:after="120" w:line="276" w:lineRule="auto"/>
        <w:jc w:val="both"/>
        <w:suppressAutoHyphens w:val="1"/>
      </w:pPr>
      <w:r>
        <w:rPr>
          <w:rFonts w:ascii="Aptos" w:hAnsi="Aptos" w:eastAsia="Aptos"/>
          <w:b w:val="0"/>
          <w:sz w:val="22"/>
        </w:rPr>
        <w:t>Where Proof of Funds or other financial evidence is submitted through Trade Base Hub:</w:t>
      </w:r>
    </w:p>
    <w:p>
      <w:pPr>
        <w:pStyle w:val="ListNumber"/>
        <w:spacing w:after="40" w:line="276" w:lineRule="auto"/>
        <w:jc w:val="both"/>
        <w:suppressAutoHyphens w:val="1"/>
      </w:pPr>
      <w:r>
        <w:rPr>
          <w:rFonts w:ascii="Aptos" w:hAnsi="Aptos" w:eastAsia="Aptos"/>
          <w:b w:val="0"/>
          <w:sz w:val="22"/>
        </w:rPr>
        <w:t>Trade Base Hub may assess whether the documentation appears to satisfy established submission standards.</w:t>
      </w:r>
    </w:p>
    <w:p>
      <w:pPr>
        <w:pStyle w:val="ListNumber"/>
        <w:spacing w:after="40" w:line="276" w:lineRule="auto"/>
        <w:jc w:val="both"/>
        <w:suppressAutoHyphens w:val="1"/>
      </w:pPr>
      <w:r>
        <w:rPr>
          <w:rFonts w:ascii="Aptos" w:hAnsi="Aptos" w:eastAsia="Aptos"/>
          <w:b w:val="0"/>
          <w:sz w:val="22"/>
        </w:rPr>
        <w:t>Trade Base Hub may request additional evidence or verification.</w:t>
      </w:r>
    </w:p>
    <w:p>
      <w:pPr>
        <w:pStyle w:val="ListNumber"/>
        <w:spacing w:after="40" w:line="276" w:lineRule="auto"/>
        <w:jc w:val="both"/>
        <w:suppressAutoHyphens w:val="1"/>
      </w:pPr>
      <w:r>
        <w:rPr>
          <w:rFonts w:ascii="Aptos" w:hAnsi="Aptos" w:eastAsia="Aptos"/>
          <w:b w:val="0"/>
          <w:sz w:val="22"/>
        </w:rPr>
        <w:t>Trade Base Hub may decline or suspend processing where documentation appears incomplete, inconsistent, expired or unreliable.</w:t>
      </w:r>
    </w:p>
    <w:p>
      <w:pPr>
        <w:pStyle w:val="ListNumber"/>
        <w:spacing w:after="40" w:line="276" w:lineRule="auto"/>
        <w:jc w:val="both"/>
        <w:suppressAutoHyphens w:val="1"/>
      </w:pPr>
      <w:r>
        <w:rPr>
          <w:rFonts w:ascii="Aptos" w:hAnsi="Aptos" w:eastAsia="Aptos"/>
          <w:b w:val="0"/>
          <w:sz w:val="22"/>
        </w:rPr>
        <w:t>Trade Base Hub does not independently create or issue Proof of Funds.</w:t>
      </w:r>
    </w:p>
    <w:p>
      <w:pPr>
        <w:pStyle w:val="ListNumber"/>
        <w:spacing w:after="40" w:line="276" w:lineRule="auto"/>
        <w:jc w:val="both"/>
        <w:suppressAutoHyphens w:val="1"/>
      </w:pPr>
      <w:r>
        <w:rPr>
          <w:rFonts w:ascii="Aptos" w:hAnsi="Aptos" w:eastAsia="Aptos"/>
          <w:b w:val="0"/>
          <w:sz w:val="22"/>
        </w:rPr>
        <w:t>Acceptance for procedural purposes does not constitute a banking certification.</w:t>
      </w:r>
    </w:p>
    <w:p>
      <w:pPr>
        <w:pStyle w:val="ListNumber"/>
        <w:spacing w:after="40" w:line="276" w:lineRule="auto"/>
        <w:jc w:val="both"/>
        <w:suppressAutoHyphens w:val="1"/>
      </w:pPr>
      <w:r>
        <w:rPr>
          <w:rFonts w:ascii="Aptos" w:hAnsi="Aptos" w:eastAsia="Aptos"/>
          <w:b w:val="0"/>
          <w:sz w:val="22"/>
        </w:rPr>
        <w:t>Final verification should be undertaken through appropriate banking or professional channels where required.</w:t>
      </w:r>
    </w:p>
    <w:p>
      <w:pPr>
        <w:keepLines w:val="0"/>
        <w:spacing w:after="120" w:line="276" w:lineRule="auto"/>
        <w:jc w:val="both"/>
        <w:suppressAutoHyphens w:val="1"/>
      </w:pPr>
      <w:r>
        <w:rPr>
          <w:rFonts w:ascii="Aptos" w:hAnsi="Aptos" w:eastAsia="Aptos"/>
          <w:b w:val="0"/>
          <w:sz w:val="22"/>
        </w:rPr>
        <w:t>Trade Base Hub does not guarantee the authenticity of a banking document merely because it has been submitted, reviewed or stored through the platform.</w:t>
      </w:r>
    </w:p>
    <w:p>
      <w:pPr>
        <w:pStyle w:val="Heading1"/>
        <w:keepNext/>
        <w:spacing w:before="200" w:after="120"/>
        <w:suppressAutoHyphens w:val="1"/>
      </w:pPr>
      <w:r>
        <w:rPr>
          <w:rFonts w:ascii="Aptos" w:hAnsi="Aptos" w:eastAsia="Aptos"/>
          <w:b/>
          <w:color w:val="0F2A41"/>
          <w:sz w:val="32"/>
        </w:rPr>
        <w:t>10. KYC, AML, SANCTIONS AND COMPLIANCE SUPPORT</w:t>
      </w:r>
    </w:p>
    <w:p>
      <w:pPr>
        <w:keepLines w:val="0"/>
        <w:spacing w:after="120" w:line="276" w:lineRule="auto"/>
        <w:jc w:val="both"/>
        <w:suppressAutoHyphens w:val="1"/>
      </w:pPr>
      <w:r>
        <w:rPr>
          <w:rFonts w:ascii="Aptos" w:hAnsi="Aptos" w:eastAsia="Aptos"/>
          <w:b w:val="0"/>
          <w:sz w:val="22"/>
        </w:rPr>
        <w:t>Trade Base Hub may use compliance processes intended to identify transaction risk and support legitimate commercial activity.</w:t>
      </w:r>
    </w:p>
    <w:p>
      <w:pPr>
        <w:keepLines w:val="0"/>
        <w:spacing w:after="120" w:line="276" w:lineRule="auto"/>
        <w:jc w:val="both"/>
        <w:suppressAutoHyphens w:val="1"/>
      </w:pPr>
      <w:r>
        <w:rPr>
          <w:rFonts w:ascii="Aptos" w:hAnsi="Aptos" w:eastAsia="Aptos"/>
          <w:b w:val="0"/>
          <w:sz w:val="22"/>
        </w:rPr>
        <w:t>These may include:</w:t>
      </w:r>
    </w:p>
    <w:p>
      <w:pPr>
        <w:pStyle w:val="ListBullet"/>
        <w:spacing w:after="40" w:line="276" w:lineRule="auto"/>
        <w:jc w:val="both"/>
        <w:suppressAutoHyphens w:val="1"/>
      </w:pPr>
      <w:r>
        <w:rPr>
          <w:rFonts w:ascii="Aptos" w:hAnsi="Aptos" w:eastAsia="Aptos"/>
          <w:b w:val="0"/>
          <w:sz w:val="22"/>
        </w:rPr>
        <w:t>identity verification;</w:t>
      </w:r>
    </w:p>
    <w:p>
      <w:pPr>
        <w:pStyle w:val="ListBullet"/>
        <w:spacing w:after="40" w:line="276" w:lineRule="auto"/>
        <w:jc w:val="both"/>
        <w:suppressAutoHyphens w:val="1"/>
      </w:pPr>
      <w:r>
        <w:rPr>
          <w:rFonts w:ascii="Aptos" w:hAnsi="Aptos" w:eastAsia="Aptos"/>
          <w:b w:val="0"/>
          <w:sz w:val="22"/>
        </w:rPr>
        <w:t>beneficial ownership information;</w:t>
      </w:r>
    </w:p>
    <w:p>
      <w:pPr>
        <w:pStyle w:val="ListBullet"/>
        <w:spacing w:after="40" w:line="276" w:lineRule="auto"/>
        <w:jc w:val="both"/>
        <w:suppressAutoHyphens w:val="1"/>
      </w:pPr>
      <w:r>
        <w:rPr>
          <w:rFonts w:ascii="Aptos" w:hAnsi="Aptos" w:eastAsia="Aptos"/>
          <w:b w:val="0"/>
          <w:sz w:val="22"/>
        </w:rPr>
        <w:t>authority verification;</w:t>
      </w:r>
    </w:p>
    <w:p>
      <w:pPr>
        <w:pStyle w:val="ListBullet"/>
        <w:spacing w:after="40" w:line="276" w:lineRule="auto"/>
        <w:jc w:val="both"/>
        <w:suppressAutoHyphens w:val="1"/>
      </w:pPr>
      <w:r>
        <w:rPr>
          <w:rFonts w:ascii="Aptos" w:hAnsi="Aptos" w:eastAsia="Aptos"/>
          <w:b w:val="0"/>
          <w:sz w:val="22"/>
        </w:rPr>
        <w:t>sanctions screening;</w:t>
      </w:r>
    </w:p>
    <w:p>
      <w:pPr>
        <w:pStyle w:val="ListBullet"/>
        <w:spacing w:after="40" w:line="276" w:lineRule="auto"/>
        <w:jc w:val="both"/>
        <w:suppressAutoHyphens w:val="1"/>
      </w:pPr>
      <w:r>
        <w:rPr>
          <w:rFonts w:ascii="Aptos" w:hAnsi="Aptos" w:eastAsia="Aptos"/>
          <w:b w:val="0"/>
          <w:sz w:val="22"/>
        </w:rPr>
        <w:t>politically exposed person screening;</w:t>
      </w:r>
    </w:p>
    <w:p>
      <w:pPr>
        <w:pStyle w:val="ListBullet"/>
        <w:spacing w:after="40" w:line="276" w:lineRule="auto"/>
        <w:jc w:val="both"/>
        <w:suppressAutoHyphens w:val="1"/>
      </w:pPr>
      <w:r>
        <w:rPr>
          <w:rFonts w:ascii="Aptos" w:hAnsi="Aptos" w:eastAsia="Aptos"/>
          <w:b w:val="0"/>
          <w:sz w:val="22"/>
        </w:rPr>
        <w:t>adverse-information review;</w:t>
      </w:r>
    </w:p>
    <w:p>
      <w:pPr>
        <w:pStyle w:val="ListBullet"/>
        <w:spacing w:after="40" w:line="276" w:lineRule="auto"/>
        <w:jc w:val="both"/>
        <w:suppressAutoHyphens w:val="1"/>
      </w:pPr>
      <w:r>
        <w:rPr>
          <w:rFonts w:ascii="Aptos" w:hAnsi="Aptos" w:eastAsia="Aptos"/>
          <w:b w:val="0"/>
          <w:sz w:val="22"/>
        </w:rPr>
        <w:t>source-of-funds information;</w:t>
      </w:r>
    </w:p>
    <w:p>
      <w:pPr>
        <w:pStyle w:val="ListBullet"/>
        <w:spacing w:after="40" w:line="276" w:lineRule="auto"/>
        <w:jc w:val="both"/>
        <w:suppressAutoHyphens w:val="1"/>
      </w:pPr>
      <w:r>
        <w:rPr>
          <w:rFonts w:ascii="Aptos" w:hAnsi="Aptos" w:eastAsia="Aptos"/>
          <w:b w:val="0"/>
          <w:sz w:val="22"/>
        </w:rPr>
        <w:t>transaction-purpose assessment; and</w:t>
      </w:r>
    </w:p>
    <w:p>
      <w:pPr>
        <w:pStyle w:val="ListBullet"/>
        <w:spacing w:after="40" w:line="276" w:lineRule="auto"/>
        <w:jc w:val="both"/>
        <w:suppressAutoHyphens w:val="1"/>
      </w:pPr>
      <w:r>
        <w:rPr>
          <w:rFonts w:ascii="Aptos" w:hAnsi="Aptos" w:eastAsia="Aptos"/>
          <w:b w:val="0"/>
          <w:sz w:val="22"/>
        </w:rPr>
        <w:t>supporting documentation.</w:t>
      </w:r>
    </w:p>
    <w:p>
      <w:pPr>
        <w:keepLines w:val="0"/>
        <w:spacing w:after="120" w:line="276" w:lineRule="auto"/>
        <w:jc w:val="both"/>
        <w:suppressAutoHyphens w:val="1"/>
      </w:pPr>
      <w:r>
        <w:rPr>
          <w:rFonts w:ascii="Aptos" w:hAnsi="Aptos" w:eastAsia="Aptos"/>
          <w:b w:val="0"/>
          <w:sz w:val="22"/>
        </w:rPr>
        <w:t>Trade Base Hub reserves the right to:</w:t>
      </w:r>
    </w:p>
    <w:p>
      <w:pPr>
        <w:pStyle w:val="ListBullet"/>
        <w:spacing w:after="40" w:line="276" w:lineRule="auto"/>
        <w:jc w:val="both"/>
        <w:suppressAutoHyphens w:val="1"/>
      </w:pPr>
      <w:r>
        <w:rPr>
          <w:rFonts w:ascii="Aptos" w:hAnsi="Aptos" w:eastAsia="Aptos"/>
          <w:b w:val="0"/>
          <w:sz w:val="22"/>
        </w:rPr>
        <w:t>request additional information;</w:t>
      </w:r>
    </w:p>
    <w:p>
      <w:pPr>
        <w:pStyle w:val="ListBullet"/>
        <w:spacing w:after="40" w:line="276" w:lineRule="auto"/>
        <w:jc w:val="both"/>
        <w:suppressAutoHyphens w:val="1"/>
      </w:pPr>
      <w:r>
        <w:rPr>
          <w:rFonts w:ascii="Aptos" w:hAnsi="Aptos" w:eastAsia="Aptos"/>
          <w:b w:val="0"/>
          <w:sz w:val="22"/>
        </w:rPr>
        <w:t>refuse onboarding;</w:t>
      </w:r>
    </w:p>
    <w:p>
      <w:pPr>
        <w:pStyle w:val="ListBullet"/>
        <w:spacing w:after="40" w:line="276" w:lineRule="auto"/>
        <w:jc w:val="both"/>
        <w:suppressAutoHyphens w:val="1"/>
      </w:pPr>
      <w:r>
        <w:rPr>
          <w:rFonts w:ascii="Aptos" w:hAnsi="Aptos" w:eastAsia="Aptos"/>
          <w:b w:val="0"/>
          <w:sz w:val="22"/>
        </w:rPr>
        <w:t>suspend access;</w:t>
      </w:r>
    </w:p>
    <w:p>
      <w:pPr>
        <w:pStyle w:val="ListBullet"/>
        <w:spacing w:after="40" w:line="276" w:lineRule="auto"/>
        <w:jc w:val="both"/>
        <w:suppressAutoHyphens w:val="1"/>
      </w:pPr>
      <w:r>
        <w:rPr>
          <w:rFonts w:ascii="Aptos" w:hAnsi="Aptos" w:eastAsia="Aptos"/>
          <w:b w:val="0"/>
          <w:sz w:val="22"/>
        </w:rPr>
        <w:t>restrict transaction activity;</w:t>
      </w:r>
    </w:p>
    <w:p>
      <w:pPr>
        <w:pStyle w:val="ListBullet"/>
        <w:spacing w:after="40" w:line="276" w:lineRule="auto"/>
        <w:jc w:val="both"/>
        <w:suppressAutoHyphens w:val="1"/>
      </w:pPr>
      <w:r>
        <w:rPr>
          <w:rFonts w:ascii="Aptos" w:hAnsi="Aptos" w:eastAsia="Aptos"/>
          <w:b w:val="0"/>
          <w:sz w:val="22"/>
        </w:rPr>
        <w:t>decline a service;</w:t>
      </w:r>
    </w:p>
    <w:p>
      <w:pPr>
        <w:pStyle w:val="ListBullet"/>
        <w:spacing w:after="40" w:line="276" w:lineRule="auto"/>
        <w:jc w:val="both"/>
        <w:suppressAutoHyphens w:val="1"/>
      </w:pPr>
      <w:r>
        <w:rPr>
          <w:rFonts w:ascii="Aptos" w:hAnsi="Aptos" w:eastAsia="Aptos"/>
          <w:b w:val="0"/>
          <w:sz w:val="22"/>
        </w:rPr>
        <w:t>place a matter under review; or</w:t>
      </w:r>
    </w:p>
    <w:p>
      <w:pPr>
        <w:pStyle w:val="ListBullet"/>
        <w:spacing w:after="40" w:line="276" w:lineRule="auto"/>
        <w:jc w:val="both"/>
        <w:suppressAutoHyphens w:val="1"/>
      </w:pPr>
      <w:r>
        <w:rPr>
          <w:rFonts w:ascii="Aptos" w:hAnsi="Aptos" w:eastAsia="Aptos"/>
          <w:b w:val="0"/>
          <w:sz w:val="22"/>
        </w:rPr>
        <w:t>terminate access,</w:t>
      </w:r>
    </w:p>
    <w:p>
      <w:pPr>
        <w:keepLines w:val="0"/>
        <w:spacing w:after="120" w:line="276" w:lineRule="auto"/>
        <w:jc w:val="both"/>
        <w:suppressAutoHyphens w:val="1"/>
      </w:pPr>
      <w:r>
        <w:rPr>
          <w:rFonts w:ascii="Aptos" w:hAnsi="Aptos" w:eastAsia="Aptos"/>
          <w:b w:val="0"/>
          <w:sz w:val="22"/>
        </w:rPr>
        <w:t>where compliance, fraud, legal, reputational or commercial concerns arise.</w:t>
      </w:r>
    </w:p>
    <w:p>
      <w:pPr>
        <w:keepLines w:val="0"/>
        <w:spacing w:after="120" w:line="276" w:lineRule="auto"/>
        <w:jc w:val="both"/>
        <w:suppressAutoHyphens w:val="1"/>
      </w:pPr>
      <w:r>
        <w:rPr>
          <w:rFonts w:ascii="Aptos" w:hAnsi="Aptos" w:eastAsia="Aptos"/>
          <w:b w:val="0"/>
          <w:sz w:val="22"/>
        </w:rPr>
        <w:t>A Trade Base Hub review does not replace any statutory compliance obligations that may apply to a regulated institution or transaction participant.</w:t>
      </w:r>
    </w:p>
    <w:p>
      <w:pPr>
        <w:pStyle w:val="Heading1"/>
        <w:keepNext/>
        <w:spacing w:before="200" w:after="120"/>
        <w:suppressAutoHyphens w:val="1"/>
      </w:pPr>
      <w:r>
        <w:rPr>
          <w:rFonts w:ascii="Aptos" w:hAnsi="Aptos" w:eastAsia="Aptos"/>
          <w:b/>
          <w:color w:val="0F2A41"/>
          <w:sz w:val="32"/>
        </w:rPr>
        <w:t>11. CLIENT RESPONSIBILITY</w:t>
      </w:r>
    </w:p>
    <w:p>
      <w:pPr>
        <w:keepLines w:val="0"/>
        <w:spacing w:after="120" w:line="276" w:lineRule="auto"/>
        <w:jc w:val="both"/>
        <w:suppressAutoHyphens w:val="1"/>
      </w:pPr>
      <w:r>
        <w:rPr>
          <w:rFonts w:ascii="Aptos" w:hAnsi="Aptos" w:eastAsia="Aptos"/>
          <w:b w:val="0"/>
          <w:sz w:val="22"/>
        </w:rPr>
        <w:t>Every user and client remains responsible for:</w:t>
      </w:r>
    </w:p>
    <w:p>
      <w:pPr>
        <w:pStyle w:val="ListBullet"/>
        <w:spacing w:after="40" w:line="276" w:lineRule="auto"/>
        <w:jc w:val="both"/>
        <w:suppressAutoHyphens w:val="1"/>
      </w:pPr>
      <w:r>
        <w:rPr>
          <w:rFonts w:ascii="Aptos" w:hAnsi="Aptos" w:eastAsia="Aptos"/>
          <w:b w:val="0"/>
          <w:sz w:val="22"/>
        </w:rPr>
        <w:t>the accuracy of information supplied;</w:t>
      </w:r>
    </w:p>
    <w:p>
      <w:pPr>
        <w:pStyle w:val="ListBullet"/>
        <w:spacing w:after="40" w:line="276" w:lineRule="auto"/>
        <w:jc w:val="both"/>
        <w:suppressAutoHyphens w:val="1"/>
      </w:pPr>
      <w:r>
        <w:rPr>
          <w:rFonts w:ascii="Aptos" w:hAnsi="Aptos" w:eastAsia="Aptos"/>
          <w:b w:val="0"/>
          <w:sz w:val="22"/>
        </w:rPr>
        <w:t>ensuring they possess authority to act;</w:t>
      </w:r>
    </w:p>
    <w:p>
      <w:pPr>
        <w:pStyle w:val="ListBullet"/>
        <w:spacing w:after="40" w:line="276" w:lineRule="auto"/>
        <w:jc w:val="both"/>
        <w:suppressAutoHyphens w:val="1"/>
      </w:pPr>
      <w:r>
        <w:rPr>
          <w:rFonts w:ascii="Aptos" w:hAnsi="Aptos" w:eastAsia="Aptos"/>
          <w:b w:val="0"/>
          <w:sz w:val="22"/>
        </w:rPr>
        <w:t>verifying counterparties where appropriate;</w:t>
      </w:r>
    </w:p>
    <w:p>
      <w:pPr>
        <w:pStyle w:val="ListBullet"/>
        <w:spacing w:after="40" w:line="276" w:lineRule="auto"/>
        <w:jc w:val="both"/>
        <w:suppressAutoHyphens w:val="1"/>
      </w:pPr>
      <w:r>
        <w:rPr>
          <w:rFonts w:ascii="Aptos" w:hAnsi="Aptos" w:eastAsia="Aptos"/>
          <w:b w:val="0"/>
          <w:sz w:val="22"/>
        </w:rPr>
        <w:t>obtaining professional advice where required;</w:t>
      </w:r>
    </w:p>
    <w:p>
      <w:pPr>
        <w:pStyle w:val="ListBullet"/>
        <w:spacing w:after="40" w:line="276" w:lineRule="auto"/>
        <w:jc w:val="both"/>
        <w:suppressAutoHyphens w:val="1"/>
      </w:pPr>
      <w:r>
        <w:rPr>
          <w:rFonts w:ascii="Aptos" w:hAnsi="Aptos" w:eastAsia="Aptos"/>
          <w:b w:val="0"/>
          <w:sz w:val="22"/>
        </w:rPr>
        <w:t>understanding contractual obligations before signing;</w:t>
      </w:r>
    </w:p>
    <w:p>
      <w:pPr>
        <w:pStyle w:val="ListBullet"/>
        <w:spacing w:after="40" w:line="276" w:lineRule="auto"/>
        <w:jc w:val="both"/>
        <w:suppressAutoHyphens w:val="1"/>
      </w:pPr>
      <w:r>
        <w:rPr>
          <w:rFonts w:ascii="Aptos" w:hAnsi="Aptos" w:eastAsia="Aptos"/>
          <w:b w:val="0"/>
          <w:sz w:val="22"/>
        </w:rPr>
        <w:t>determining whether a transaction is lawful in relevant jurisdictions;</w:t>
      </w:r>
    </w:p>
    <w:p>
      <w:pPr>
        <w:pStyle w:val="ListBullet"/>
        <w:spacing w:after="40" w:line="276" w:lineRule="auto"/>
        <w:jc w:val="both"/>
        <w:suppressAutoHyphens w:val="1"/>
      </w:pPr>
      <w:r>
        <w:rPr>
          <w:rFonts w:ascii="Aptos" w:hAnsi="Aptos" w:eastAsia="Aptos"/>
          <w:b w:val="0"/>
          <w:sz w:val="22"/>
        </w:rPr>
        <w:t>complying with applicable taxes;</w:t>
      </w:r>
    </w:p>
    <w:p>
      <w:pPr>
        <w:pStyle w:val="ListBullet"/>
        <w:spacing w:after="40" w:line="276" w:lineRule="auto"/>
        <w:jc w:val="both"/>
        <w:suppressAutoHyphens w:val="1"/>
      </w:pPr>
      <w:r>
        <w:rPr>
          <w:rFonts w:ascii="Aptos" w:hAnsi="Aptos" w:eastAsia="Aptos"/>
          <w:b w:val="0"/>
          <w:sz w:val="22"/>
        </w:rPr>
        <w:t>complying with licensing requirements;</w:t>
      </w:r>
    </w:p>
    <w:p>
      <w:pPr>
        <w:pStyle w:val="ListBullet"/>
        <w:spacing w:after="40" w:line="276" w:lineRule="auto"/>
        <w:jc w:val="both"/>
        <w:suppressAutoHyphens w:val="1"/>
      </w:pPr>
      <w:r>
        <w:rPr>
          <w:rFonts w:ascii="Aptos" w:hAnsi="Aptos" w:eastAsia="Aptos"/>
          <w:b w:val="0"/>
          <w:sz w:val="22"/>
        </w:rPr>
        <w:t>complying with sanctions and export controls;</w:t>
      </w:r>
    </w:p>
    <w:p>
      <w:pPr>
        <w:pStyle w:val="ListBullet"/>
        <w:spacing w:after="40" w:line="276" w:lineRule="auto"/>
        <w:jc w:val="both"/>
        <w:suppressAutoHyphens w:val="1"/>
      </w:pPr>
      <w:r>
        <w:rPr>
          <w:rFonts w:ascii="Aptos" w:hAnsi="Aptos" w:eastAsia="Aptos"/>
          <w:b w:val="0"/>
          <w:sz w:val="22"/>
        </w:rPr>
        <w:t>assessing commercial and financial risk; and</w:t>
      </w:r>
    </w:p>
    <w:p>
      <w:pPr>
        <w:pStyle w:val="ListBullet"/>
        <w:spacing w:after="40" w:line="276" w:lineRule="auto"/>
        <w:jc w:val="both"/>
        <w:suppressAutoHyphens w:val="1"/>
      </w:pPr>
      <w:r>
        <w:rPr>
          <w:rFonts w:ascii="Aptos" w:hAnsi="Aptos" w:eastAsia="Aptos"/>
          <w:b w:val="0"/>
          <w:sz w:val="22"/>
        </w:rPr>
        <w:t>deciding whether to proceed with a transaction.</w:t>
      </w:r>
    </w:p>
    <w:p>
      <w:pPr>
        <w:keepLines w:val="0"/>
        <w:spacing w:after="120" w:line="276" w:lineRule="auto"/>
        <w:jc w:val="both"/>
        <w:suppressAutoHyphens w:val="1"/>
      </w:pPr>
      <w:r>
        <w:rPr>
          <w:rFonts w:ascii="Aptos" w:hAnsi="Aptos" w:eastAsia="Aptos"/>
          <w:b w:val="0"/>
          <w:sz w:val="22"/>
        </w:rPr>
        <w:t>Use of Trade Base Hub does not transfer these responsibilities to Trade Base Hub.</w:t>
      </w:r>
    </w:p>
    <w:p>
      <w:pPr>
        <w:pStyle w:val="Heading1"/>
        <w:keepNext/>
        <w:spacing w:before="200" w:after="120"/>
        <w:suppressAutoHyphens w:val="1"/>
      </w:pPr>
      <w:r>
        <w:rPr>
          <w:rFonts w:ascii="Aptos" w:hAnsi="Aptos" w:eastAsia="Aptos"/>
          <w:b/>
          <w:color w:val="0F2A41"/>
          <w:sz w:val="32"/>
        </w:rPr>
        <w:t>12. INFORMATION ACCURACY</w:t>
      </w:r>
    </w:p>
    <w:p>
      <w:pPr>
        <w:keepLines w:val="0"/>
        <w:spacing w:after="120" w:line="276" w:lineRule="auto"/>
        <w:jc w:val="both"/>
        <w:suppressAutoHyphens w:val="1"/>
      </w:pPr>
      <w:r>
        <w:rPr>
          <w:rFonts w:ascii="Aptos" w:hAnsi="Aptos" w:eastAsia="Aptos"/>
          <w:b w:val="0"/>
          <w:sz w:val="22"/>
        </w:rPr>
        <w:t>Trade Base Hub seeks to provide accurate and useful information.</w:t>
      </w:r>
    </w:p>
    <w:p>
      <w:pPr>
        <w:keepLines w:val="0"/>
        <w:spacing w:after="120" w:line="276" w:lineRule="auto"/>
        <w:jc w:val="both"/>
        <w:suppressAutoHyphens w:val="1"/>
      </w:pPr>
      <w:r>
        <w:rPr>
          <w:rFonts w:ascii="Aptos" w:hAnsi="Aptos" w:eastAsia="Aptos"/>
          <w:b w:val="0"/>
          <w:sz w:val="22"/>
        </w:rPr>
        <w:t>However, information concerning counterparties, markets, regulations, pricing, transaction opportunities, financial institutions, jurisdictions, commercial conditions and third-party services may change.</w:t>
      </w:r>
    </w:p>
    <w:p>
      <w:pPr>
        <w:keepLines w:val="0"/>
        <w:spacing w:after="120" w:line="276" w:lineRule="auto"/>
        <w:jc w:val="both"/>
        <w:suppressAutoHyphens w:val="1"/>
      </w:pPr>
      <w:r>
        <w:rPr>
          <w:rFonts w:ascii="Aptos" w:hAnsi="Aptos" w:eastAsia="Aptos"/>
          <w:b w:val="0"/>
          <w:sz w:val="22"/>
        </w:rPr>
        <w:t>Unless expressly verified and confirmed in writing, users should not treat information provided through the platform as an unconditional representation of fact.</w:t>
      </w:r>
    </w:p>
    <w:p>
      <w:pPr>
        <w:keepLines w:val="0"/>
        <w:spacing w:after="120" w:line="276" w:lineRule="auto"/>
        <w:jc w:val="both"/>
        <w:suppressAutoHyphens w:val="1"/>
      </w:pPr>
      <w:r>
        <w:rPr>
          <w:rFonts w:ascii="Aptos" w:hAnsi="Aptos" w:eastAsia="Aptos"/>
          <w:b w:val="0"/>
          <w:sz w:val="22"/>
        </w:rPr>
        <w:t>Material information should be independently verified before reliance.</w:t>
      </w:r>
    </w:p>
    <w:p>
      <w:pPr>
        <w:pStyle w:val="Heading1"/>
        <w:keepNext/>
        <w:spacing w:before="200" w:after="120"/>
        <w:suppressAutoHyphens w:val="1"/>
      </w:pPr>
      <w:r>
        <w:rPr>
          <w:rFonts w:ascii="Aptos" w:hAnsi="Aptos" w:eastAsia="Aptos"/>
          <w:b/>
          <w:color w:val="0F2A41"/>
          <w:sz w:val="32"/>
        </w:rPr>
        <w:t>13. THIRD-PARTY CONTENT AND INTRODUCTIONS</w:t>
      </w:r>
    </w:p>
    <w:p>
      <w:pPr>
        <w:keepLines w:val="0"/>
        <w:spacing w:after="120" w:line="276" w:lineRule="auto"/>
        <w:jc w:val="both"/>
        <w:suppressAutoHyphens w:val="1"/>
      </w:pPr>
      <w:r>
        <w:rPr>
          <w:rFonts w:ascii="Aptos" w:hAnsi="Aptos" w:eastAsia="Aptos"/>
          <w:b w:val="0"/>
          <w:sz w:val="22"/>
        </w:rPr>
        <w:t>Trade Base Hub may facilitate introductions or provide access to information supplied by:</w:t>
      </w:r>
    </w:p>
    <w:p>
      <w:pPr>
        <w:pStyle w:val="ListBullet"/>
        <w:spacing w:after="40" w:line="276" w:lineRule="auto"/>
        <w:jc w:val="both"/>
        <w:suppressAutoHyphens w:val="1"/>
      </w:pPr>
      <w:r>
        <w:rPr>
          <w:rFonts w:ascii="Aptos" w:hAnsi="Aptos" w:eastAsia="Aptos"/>
          <w:b w:val="0"/>
          <w:sz w:val="22"/>
        </w:rPr>
        <w:t>buyers;</w:t>
      </w:r>
    </w:p>
    <w:p>
      <w:pPr>
        <w:pStyle w:val="ListBullet"/>
        <w:spacing w:after="40" w:line="276" w:lineRule="auto"/>
        <w:jc w:val="both"/>
        <w:suppressAutoHyphens w:val="1"/>
      </w:pPr>
      <w:r>
        <w:rPr>
          <w:rFonts w:ascii="Aptos" w:hAnsi="Aptos" w:eastAsia="Aptos"/>
          <w:b w:val="0"/>
          <w:sz w:val="22"/>
        </w:rPr>
        <w:t>sellers;</w:t>
      </w:r>
    </w:p>
    <w:p>
      <w:pPr>
        <w:pStyle w:val="ListBullet"/>
        <w:spacing w:after="40" w:line="276" w:lineRule="auto"/>
        <w:jc w:val="both"/>
        <w:suppressAutoHyphens w:val="1"/>
      </w:pPr>
      <w:r>
        <w:rPr>
          <w:rFonts w:ascii="Aptos" w:hAnsi="Aptos" w:eastAsia="Aptos"/>
          <w:b w:val="0"/>
          <w:sz w:val="22"/>
        </w:rPr>
        <w:t>principals;</w:t>
      </w:r>
    </w:p>
    <w:p>
      <w:pPr>
        <w:pStyle w:val="ListBullet"/>
        <w:spacing w:after="40" w:line="276" w:lineRule="auto"/>
        <w:jc w:val="both"/>
        <w:suppressAutoHyphens w:val="1"/>
      </w:pPr>
      <w:r>
        <w:rPr>
          <w:rFonts w:ascii="Aptos" w:hAnsi="Aptos" w:eastAsia="Aptos"/>
          <w:b w:val="0"/>
          <w:sz w:val="22"/>
        </w:rPr>
        <w:t>consultants;</w:t>
      </w:r>
    </w:p>
    <w:p>
      <w:pPr>
        <w:pStyle w:val="ListBullet"/>
        <w:spacing w:after="40" w:line="276" w:lineRule="auto"/>
        <w:jc w:val="both"/>
        <w:suppressAutoHyphens w:val="1"/>
      </w:pPr>
      <w:r>
        <w:rPr>
          <w:rFonts w:ascii="Aptos" w:hAnsi="Aptos" w:eastAsia="Aptos"/>
          <w:b w:val="0"/>
          <w:sz w:val="22"/>
        </w:rPr>
        <w:t>intermediaries;</w:t>
      </w:r>
    </w:p>
    <w:p>
      <w:pPr>
        <w:pStyle w:val="ListBullet"/>
        <w:spacing w:after="40" w:line="276" w:lineRule="auto"/>
        <w:jc w:val="both"/>
        <w:suppressAutoHyphens w:val="1"/>
      </w:pPr>
      <w:r>
        <w:rPr>
          <w:rFonts w:ascii="Aptos" w:hAnsi="Aptos" w:eastAsia="Aptos"/>
          <w:b w:val="0"/>
          <w:sz w:val="22"/>
        </w:rPr>
        <w:t>authorised representatives;</w:t>
      </w:r>
    </w:p>
    <w:p>
      <w:pPr>
        <w:pStyle w:val="ListBullet"/>
        <w:spacing w:after="40" w:line="276" w:lineRule="auto"/>
        <w:jc w:val="both"/>
        <w:suppressAutoHyphens w:val="1"/>
      </w:pPr>
      <w:r>
        <w:rPr>
          <w:rFonts w:ascii="Aptos" w:hAnsi="Aptos" w:eastAsia="Aptos"/>
          <w:b w:val="0"/>
          <w:sz w:val="22"/>
        </w:rPr>
        <w:t>professional advisers;</w:t>
      </w:r>
    </w:p>
    <w:p>
      <w:pPr>
        <w:pStyle w:val="ListBullet"/>
        <w:spacing w:after="40" w:line="276" w:lineRule="auto"/>
        <w:jc w:val="both"/>
        <w:suppressAutoHyphens w:val="1"/>
      </w:pPr>
      <w:r>
        <w:rPr>
          <w:rFonts w:ascii="Aptos" w:hAnsi="Aptos" w:eastAsia="Aptos"/>
          <w:b w:val="0"/>
          <w:sz w:val="22"/>
        </w:rPr>
        <w:t>financial institutions;</w:t>
      </w:r>
    </w:p>
    <w:p>
      <w:pPr>
        <w:pStyle w:val="ListBullet"/>
        <w:spacing w:after="40" w:line="276" w:lineRule="auto"/>
        <w:jc w:val="both"/>
        <w:suppressAutoHyphens w:val="1"/>
      </w:pPr>
      <w:r>
        <w:rPr>
          <w:rFonts w:ascii="Aptos" w:hAnsi="Aptos" w:eastAsia="Aptos"/>
          <w:b w:val="0"/>
          <w:sz w:val="22"/>
        </w:rPr>
        <w:t>service providers; or</w:t>
      </w:r>
    </w:p>
    <w:p>
      <w:pPr>
        <w:pStyle w:val="ListBullet"/>
        <w:spacing w:after="40" w:line="276" w:lineRule="auto"/>
        <w:jc w:val="both"/>
        <w:suppressAutoHyphens w:val="1"/>
      </w:pPr>
      <w:r>
        <w:rPr>
          <w:rFonts w:ascii="Aptos" w:hAnsi="Aptos" w:eastAsia="Aptos"/>
          <w:b w:val="0"/>
          <w:sz w:val="22"/>
        </w:rPr>
        <w:t>other third parties.</w:t>
      </w:r>
    </w:p>
    <w:p>
      <w:pPr>
        <w:keepLines w:val="0"/>
        <w:spacing w:after="120" w:line="276" w:lineRule="auto"/>
        <w:jc w:val="both"/>
        <w:suppressAutoHyphens w:val="1"/>
      </w:pPr>
      <w:r>
        <w:rPr>
          <w:rFonts w:ascii="Aptos" w:hAnsi="Aptos" w:eastAsia="Aptos"/>
          <w:b w:val="0"/>
          <w:sz w:val="22"/>
        </w:rPr>
        <w:t>Trade Base Hub does not automatically endorse or guarantee a third party merely because that party appears on, communicates through or participates in the Trade Base Hub environment.</w:t>
      </w:r>
    </w:p>
    <w:p>
      <w:pPr>
        <w:keepLines w:val="0"/>
        <w:spacing w:after="120" w:line="276" w:lineRule="auto"/>
        <w:jc w:val="both"/>
        <w:suppressAutoHyphens w:val="1"/>
      </w:pPr>
      <w:r>
        <w:rPr>
          <w:rFonts w:ascii="Aptos" w:hAnsi="Aptos" w:eastAsia="Aptos"/>
          <w:b w:val="0"/>
          <w:sz w:val="22"/>
        </w:rPr>
        <w:t>Participants remain independent parties unless expressly agreed otherwise.</w:t>
      </w:r>
    </w:p>
    <w:p>
      <w:pPr>
        <w:pStyle w:val="Heading1"/>
        <w:keepNext/>
        <w:spacing w:before="200" w:after="120"/>
        <w:suppressAutoHyphens w:val="1"/>
      </w:pPr>
      <w:r>
        <w:rPr>
          <w:rFonts w:ascii="Aptos" w:hAnsi="Aptos" w:eastAsia="Aptos"/>
          <w:b/>
          <w:color w:val="0F2A41"/>
          <w:sz w:val="32"/>
        </w:rPr>
        <w:t>14. WHOP</w:t>
      </w:r>
    </w:p>
    <w:p>
      <w:pPr>
        <w:keepLines w:val="0"/>
        <w:spacing w:after="120" w:line="276" w:lineRule="auto"/>
        <w:jc w:val="both"/>
        <w:suppressAutoHyphens w:val="1"/>
      </w:pPr>
      <w:r>
        <w:rPr>
          <w:rFonts w:ascii="Aptos" w:hAnsi="Aptos" w:eastAsia="Aptos"/>
          <w:b w:val="0"/>
          <w:sz w:val="22"/>
        </w:rPr>
        <w:t>Trade Base Hub may use Whop for:</w:t>
      </w:r>
    </w:p>
    <w:p>
      <w:pPr>
        <w:pStyle w:val="ListBullet"/>
        <w:spacing w:after="40" w:line="276" w:lineRule="auto"/>
        <w:jc w:val="both"/>
        <w:suppressAutoHyphens w:val="1"/>
      </w:pPr>
      <w:r>
        <w:rPr>
          <w:rFonts w:ascii="Aptos" w:hAnsi="Aptos" w:eastAsia="Aptos"/>
          <w:b w:val="0"/>
          <w:sz w:val="22"/>
        </w:rPr>
        <w:t>product and service listings;</w:t>
      </w:r>
    </w:p>
    <w:p>
      <w:pPr>
        <w:pStyle w:val="ListBullet"/>
        <w:spacing w:after="40" w:line="276" w:lineRule="auto"/>
        <w:jc w:val="both"/>
        <w:suppressAutoHyphens w:val="1"/>
      </w:pPr>
      <w:r>
        <w:rPr>
          <w:rFonts w:ascii="Aptos" w:hAnsi="Aptos" w:eastAsia="Aptos"/>
          <w:b w:val="0"/>
          <w:sz w:val="22"/>
        </w:rPr>
        <w:t>customer access;</w:t>
      </w:r>
    </w:p>
    <w:p>
      <w:pPr>
        <w:pStyle w:val="ListBullet"/>
        <w:spacing w:after="40" w:line="276" w:lineRule="auto"/>
        <w:jc w:val="both"/>
        <w:suppressAutoHyphens w:val="1"/>
      </w:pPr>
      <w:r>
        <w:rPr>
          <w:rFonts w:ascii="Aptos" w:hAnsi="Aptos" w:eastAsia="Aptos"/>
          <w:b w:val="0"/>
          <w:sz w:val="22"/>
        </w:rPr>
        <w:t>subscription or service management;</w:t>
      </w:r>
    </w:p>
    <w:p>
      <w:pPr>
        <w:pStyle w:val="ListBullet"/>
        <w:spacing w:after="40" w:line="276" w:lineRule="auto"/>
        <w:jc w:val="both"/>
        <w:suppressAutoHyphens w:val="1"/>
      </w:pPr>
      <w:r>
        <w:rPr>
          <w:rFonts w:ascii="Aptos" w:hAnsi="Aptos" w:eastAsia="Aptos"/>
          <w:b w:val="0"/>
          <w:sz w:val="22"/>
        </w:rPr>
        <w:t>payment processing;</w:t>
      </w:r>
    </w:p>
    <w:p>
      <w:pPr>
        <w:pStyle w:val="ListBullet"/>
        <w:spacing w:after="40" w:line="276" w:lineRule="auto"/>
        <w:jc w:val="both"/>
        <w:suppressAutoHyphens w:val="1"/>
      </w:pPr>
      <w:r>
        <w:rPr>
          <w:rFonts w:ascii="Aptos" w:hAnsi="Aptos" w:eastAsia="Aptos"/>
          <w:b w:val="0"/>
          <w:sz w:val="22"/>
        </w:rPr>
        <w:t>digital access control; and</w:t>
      </w:r>
    </w:p>
    <w:p>
      <w:pPr>
        <w:pStyle w:val="ListBullet"/>
        <w:spacing w:after="40" w:line="276" w:lineRule="auto"/>
        <w:jc w:val="both"/>
        <w:suppressAutoHyphens w:val="1"/>
      </w:pPr>
      <w:r>
        <w:rPr>
          <w:rFonts w:ascii="Aptos" w:hAnsi="Aptos" w:eastAsia="Aptos"/>
          <w:b w:val="0"/>
          <w:sz w:val="22"/>
        </w:rPr>
        <w:t>customer onboarding.</w:t>
      </w:r>
    </w:p>
    <w:p>
      <w:pPr>
        <w:keepLines w:val="0"/>
        <w:spacing w:after="120" w:line="276" w:lineRule="auto"/>
        <w:jc w:val="both"/>
        <w:suppressAutoHyphens w:val="1"/>
      </w:pPr>
      <w:r>
        <w:rPr>
          <w:rFonts w:ascii="Aptos" w:hAnsi="Aptos" w:eastAsia="Aptos"/>
          <w:b w:val="0"/>
          <w:sz w:val="22"/>
        </w:rPr>
        <w:t>Whop is a separate third-party platform.</w:t>
      </w:r>
    </w:p>
    <w:p>
      <w:pPr>
        <w:keepLines w:val="0"/>
        <w:spacing w:after="120" w:line="276" w:lineRule="auto"/>
        <w:jc w:val="both"/>
        <w:suppressAutoHyphens w:val="1"/>
      </w:pPr>
      <w:r>
        <w:rPr>
          <w:rFonts w:ascii="Aptos" w:hAnsi="Aptos" w:eastAsia="Aptos"/>
          <w:b w:val="0"/>
          <w:sz w:val="22"/>
        </w:rPr>
        <w:t>Use of Whop is subject to Whop's own applicable terms and policies.</w:t>
      </w:r>
    </w:p>
    <w:p>
      <w:pPr>
        <w:keepLines w:val="0"/>
        <w:spacing w:after="120" w:line="276" w:lineRule="auto"/>
        <w:jc w:val="both"/>
        <w:suppressAutoHyphens w:val="1"/>
      </w:pPr>
      <w:r>
        <w:rPr>
          <w:rFonts w:ascii="Aptos" w:hAnsi="Aptos" w:eastAsia="Aptos"/>
          <w:b w:val="0"/>
          <w:sz w:val="22"/>
        </w:rPr>
        <w:t>Trade Base Hub remains responsible for the Trade Base Hub products and services it supplies, while payment and platform functions performed by Whop or its financial partners remain subject to their respective arrangements.</w:t>
      </w:r>
    </w:p>
    <w:p>
      <w:pPr>
        <w:keepLines w:val="0"/>
        <w:spacing w:after="120" w:line="276" w:lineRule="auto"/>
        <w:jc w:val="both"/>
        <w:suppressAutoHyphens w:val="1"/>
      </w:pPr>
      <w:r>
        <w:rPr>
          <w:rFonts w:ascii="Aptos" w:hAnsi="Aptos" w:eastAsia="Aptos"/>
          <w:b w:val="0"/>
          <w:sz w:val="22"/>
        </w:rPr>
        <w:t>Trade Base Hub does not control Whop's infrastructure, payment systems, availability or platform decisions.</w:t>
      </w:r>
    </w:p>
    <w:p>
      <w:pPr>
        <w:pStyle w:val="Heading1"/>
        <w:keepNext/>
        <w:spacing w:before="200" w:after="120"/>
        <w:suppressAutoHyphens w:val="1"/>
      </w:pPr>
      <w:r>
        <w:rPr>
          <w:rFonts w:ascii="Aptos" w:hAnsi="Aptos" w:eastAsia="Aptos"/>
          <w:b/>
          <w:color w:val="0F2A41"/>
          <w:sz w:val="32"/>
        </w:rPr>
        <w:t>15. DISCORD</w:t>
      </w:r>
    </w:p>
    <w:p>
      <w:pPr>
        <w:keepLines w:val="0"/>
        <w:spacing w:after="120" w:line="276" w:lineRule="auto"/>
        <w:jc w:val="both"/>
        <w:suppressAutoHyphens w:val="1"/>
      </w:pPr>
      <w:r>
        <w:rPr>
          <w:rFonts w:ascii="Aptos" w:hAnsi="Aptos" w:eastAsia="Aptos"/>
          <w:b w:val="0"/>
          <w:sz w:val="22"/>
        </w:rPr>
        <w:t>Trade Base Hub uses Discord as a communication, onboarding, community and controlled transaction-support environment.</w:t>
      </w:r>
    </w:p>
    <w:p>
      <w:pPr>
        <w:keepLines w:val="0"/>
        <w:spacing w:after="120" w:line="276" w:lineRule="auto"/>
        <w:jc w:val="both"/>
        <w:suppressAutoHyphens w:val="1"/>
      </w:pPr>
      <w:r>
        <w:rPr>
          <w:rFonts w:ascii="Aptos" w:hAnsi="Aptos" w:eastAsia="Aptos"/>
          <w:b w:val="0"/>
          <w:sz w:val="22"/>
        </w:rPr>
        <w:t>Discord is a separate third-party platform.</w:t>
      </w:r>
    </w:p>
    <w:p>
      <w:pPr>
        <w:keepLines w:val="0"/>
        <w:spacing w:after="120" w:line="276" w:lineRule="auto"/>
        <w:jc w:val="both"/>
        <w:suppressAutoHyphens w:val="1"/>
      </w:pPr>
      <w:r>
        <w:rPr>
          <w:rFonts w:ascii="Aptos" w:hAnsi="Aptos" w:eastAsia="Aptos"/>
          <w:b w:val="0"/>
          <w:sz w:val="22"/>
        </w:rPr>
        <w:t>Use of Discord remains subject to Discord's own terms, community standards, privacy arrangements and service availability.</w:t>
      </w:r>
    </w:p>
    <w:p>
      <w:pPr>
        <w:keepLines w:val="0"/>
        <w:spacing w:after="120" w:line="276" w:lineRule="auto"/>
        <w:jc w:val="both"/>
        <w:suppressAutoHyphens w:val="1"/>
      </w:pPr>
      <w:r>
        <w:rPr>
          <w:rFonts w:ascii="Aptos" w:hAnsi="Aptos" w:eastAsia="Aptos"/>
          <w:b w:val="0"/>
          <w:sz w:val="22"/>
        </w:rPr>
        <w:t>Trade Base Hub cannot guarantee:</w:t>
      </w:r>
    </w:p>
    <w:p>
      <w:pPr>
        <w:pStyle w:val="ListBullet"/>
        <w:spacing w:after="40" w:line="276" w:lineRule="auto"/>
        <w:jc w:val="both"/>
        <w:suppressAutoHyphens w:val="1"/>
      </w:pPr>
      <w:r>
        <w:rPr>
          <w:rFonts w:ascii="Aptos" w:hAnsi="Aptos" w:eastAsia="Aptos"/>
          <w:b w:val="0"/>
          <w:sz w:val="22"/>
        </w:rPr>
        <w:t>uninterrupted Discord availability;</w:t>
      </w:r>
    </w:p>
    <w:p>
      <w:pPr>
        <w:pStyle w:val="ListBullet"/>
        <w:spacing w:after="40" w:line="276" w:lineRule="auto"/>
        <w:jc w:val="both"/>
        <w:suppressAutoHyphens w:val="1"/>
      </w:pPr>
      <w:r>
        <w:rPr>
          <w:rFonts w:ascii="Aptos" w:hAnsi="Aptos" w:eastAsia="Aptos"/>
          <w:b w:val="0"/>
          <w:sz w:val="22"/>
        </w:rPr>
        <w:t>platform uptime;</w:t>
      </w:r>
    </w:p>
    <w:p>
      <w:pPr>
        <w:pStyle w:val="ListBullet"/>
        <w:spacing w:after="40" w:line="276" w:lineRule="auto"/>
        <w:jc w:val="both"/>
        <w:suppressAutoHyphens w:val="1"/>
      </w:pPr>
      <w:r>
        <w:rPr>
          <w:rFonts w:ascii="Aptos" w:hAnsi="Aptos" w:eastAsia="Aptos"/>
          <w:b w:val="0"/>
          <w:sz w:val="22"/>
        </w:rPr>
        <w:t>preservation of third-party platform functionality;</w:t>
      </w:r>
    </w:p>
    <w:p>
      <w:pPr>
        <w:pStyle w:val="ListBullet"/>
        <w:spacing w:after="40" w:line="276" w:lineRule="auto"/>
        <w:jc w:val="both"/>
        <w:suppressAutoHyphens w:val="1"/>
      </w:pPr>
      <w:r>
        <w:rPr>
          <w:rFonts w:ascii="Aptos" w:hAnsi="Aptos" w:eastAsia="Aptos"/>
          <w:b w:val="0"/>
          <w:sz w:val="22"/>
        </w:rPr>
        <w:t>actions taken by Discord; or</w:t>
      </w:r>
    </w:p>
    <w:p>
      <w:pPr>
        <w:pStyle w:val="ListBullet"/>
        <w:spacing w:after="40" w:line="276" w:lineRule="auto"/>
        <w:jc w:val="both"/>
        <w:suppressAutoHyphens w:val="1"/>
      </w:pPr>
      <w:r>
        <w:rPr>
          <w:rFonts w:ascii="Aptos" w:hAnsi="Aptos" w:eastAsia="Aptos"/>
          <w:b w:val="0"/>
          <w:sz w:val="22"/>
        </w:rPr>
        <w:t>the continued availability of any third-party integration.</w:t>
      </w:r>
    </w:p>
    <w:p>
      <w:pPr>
        <w:keepLines w:val="0"/>
        <w:spacing w:after="120" w:line="276" w:lineRule="auto"/>
        <w:jc w:val="both"/>
        <w:suppressAutoHyphens w:val="1"/>
      </w:pPr>
      <w:r>
        <w:rPr>
          <w:rFonts w:ascii="Aptos" w:hAnsi="Aptos" w:eastAsia="Aptos"/>
          <w:b w:val="0"/>
          <w:sz w:val="22"/>
        </w:rPr>
        <w:t>Access to a Trade Base Hub Discord channel or role does not itself constitute approval of a transaction.</w:t>
      </w:r>
    </w:p>
    <w:p>
      <w:pPr>
        <w:pStyle w:val="Heading1"/>
        <w:keepNext/>
        <w:spacing w:before="200" w:after="120"/>
        <w:suppressAutoHyphens w:val="1"/>
      </w:pPr>
      <w:r>
        <w:rPr>
          <w:rFonts w:ascii="Aptos" w:hAnsi="Aptos" w:eastAsia="Aptos"/>
          <w:b/>
          <w:color w:val="0F2A41"/>
          <w:sz w:val="32"/>
        </w:rPr>
        <w:t>16. PRIVATE DEAL ROOMS</w:t>
      </w:r>
    </w:p>
    <w:p>
      <w:pPr>
        <w:keepLines w:val="0"/>
        <w:spacing w:after="120" w:line="276" w:lineRule="auto"/>
        <w:jc w:val="both"/>
        <w:suppressAutoHyphens w:val="1"/>
      </w:pPr>
      <w:r>
        <w:rPr>
          <w:rFonts w:ascii="Aptos" w:hAnsi="Aptos" w:eastAsia="Aptos"/>
          <w:b w:val="0"/>
          <w:sz w:val="22"/>
        </w:rPr>
        <w:t>A Private Deal Room is a controlled collaboration environment intended to support transaction progression.</w:t>
      </w:r>
    </w:p>
    <w:p>
      <w:pPr>
        <w:keepLines w:val="0"/>
        <w:spacing w:after="120" w:line="276" w:lineRule="auto"/>
        <w:jc w:val="both"/>
        <w:suppressAutoHyphens w:val="1"/>
      </w:pPr>
      <w:r>
        <w:rPr>
          <w:rFonts w:ascii="Aptos" w:hAnsi="Aptos" w:eastAsia="Aptos"/>
          <w:b w:val="0"/>
          <w:sz w:val="22"/>
        </w:rPr>
        <w:t>Access to a Private Deal Room:</w:t>
      </w:r>
    </w:p>
    <w:p>
      <w:pPr>
        <w:pStyle w:val="ListBullet"/>
        <w:spacing w:after="40" w:line="276" w:lineRule="auto"/>
        <w:jc w:val="both"/>
        <w:suppressAutoHyphens w:val="1"/>
      </w:pPr>
      <w:r>
        <w:rPr>
          <w:rFonts w:ascii="Aptos" w:hAnsi="Aptos" w:eastAsia="Aptos"/>
          <w:b w:val="0"/>
          <w:sz w:val="22"/>
        </w:rPr>
        <w:t>does not establish contractual rights;</w:t>
      </w:r>
    </w:p>
    <w:p>
      <w:pPr>
        <w:pStyle w:val="ListBullet"/>
        <w:spacing w:after="40" w:line="276" w:lineRule="auto"/>
        <w:jc w:val="both"/>
        <w:suppressAutoHyphens w:val="1"/>
      </w:pPr>
      <w:r>
        <w:rPr>
          <w:rFonts w:ascii="Aptos" w:hAnsi="Aptos" w:eastAsia="Aptos"/>
          <w:b w:val="0"/>
          <w:sz w:val="22"/>
        </w:rPr>
        <w:t>does not constitute financial approval;</w:t>
      </w:r>
    </w:p>
    <w:p>
      <w:pPr>
        <w:pStyle w:val="ListBullet"/>
        <w:spacing w:after="40" w:line="276" w:lineRule="auto"/>
        <w:jc w:val="both"/>
        <w:suppressAutoHyphens w:val="1"/>
      </w:pPr>
      <w:r>
        <w:rPr>
          <w:rFonts w:ascii="Aptos" w:hAnsi="Aptos" w:eastAsia="Aptos"/>
          <w:b w:val="0"/>
          <w:sz w:val="22"/>
        </w:rPr>
        <w:t>does not establish authenticity of documents;</w:t>
      </w:r>
    </w:p>
    <w:p>
      <w:pPr>
        <w:pStyle w:val="ListBullet"/>
        <w:spacing w:after="40" w:line="276" w:lineRule="auto"/>
        <w:jc w:val="both"/>
        <w:suppressAutoHyphens w:val="1"/>
      </w:pPr>
      <w:r>
        <w:rPr>
          <w:rFonts w:ascii="Aptos" w:hAnsi="Aptos" w:eastAsia="Aptos"/>
          <w:b w:val="0"/>
          <w:sz w:val="22"/>
        </w:rPr>
        <w:t>does not constitute Trade Base Hub endorsement of a counterparty;</w:t>
      </w:r>
    </w:p>
    <w:p>
      <w:pPr>
        <w:pStyle w:val="ListBullet"/>
        <w:spacing w:after="40" w:line="276" w:lineRule="auto"/>
        <w:jc w:val="both"/>
        <w:suppressAutoHyphens w:val="1"/>
      </w:pPr>
      <w:r>
        <w:rPr>
          <w:rFonts w:ascii="Aptos" w:hAnsi="Aptos" w:eastAsia="Aptos"/>
          <w:b w:val="0"/>
          <w:sz w:val="22"/>
        </w:rPr>
        <w:t>does not guarantee closing; and</w:t>
      </w:r>
    </w:p>
    <w:p>
      <w:pPr>
        <w:pStyle w:val="ListBullet"/>
        <w:spacing w:after="40" w:line="276" w:lineRule="auto"/>
        <w:jc w:val="both"/>
        <w:suppressAutoHyphens w:val="1"/>
      </w:pPr>
      <w:r>
        <w:rPr>
          <w:rFonts w:ascii="Aptos" w:hAnsi="Aptos" w:eastAsia="Aptos"/>
          <w:b w:val="0"/>
          <w:sz w:val="22"/>
        </w:rPr>
        <w:t>does not make Trade Base Hub a principal to the transaction.</w:t>
      </w:r>
    </w:p>
    <w:p>
      <w:pPr>
        <w:keepLines w:val="0"/>
        <w:spacing w:after="120" w:line="276" w:lineRule="auto"/>
        <w:jc w:val="both"/>
        <w:suppressAutoHyphens w:val="1"/>
      </w:pPr>
      <w:r>
        <w:rPr>
          <w:rFonts w:ascii="Aptos" w:hAnsi="Aptos" w:eastAsia="Aptos"/>
          <w:b w:val="0"/>
          <w:sz w:val="22"/>
        </w:rPr>
        <w:t>Access may be granted, restricted or withdrawn in accordance with Trade Base Hub operational and compliance controls.</w:t>
      </w:r>
    </w:p>
    <w:p>
      <w:pPr>
        <w:pStyle w:val="Heading1"/>
        <w:keepNext/>
        <w:spacing w:before="200" w:after="120"/>
        <w:suppressAutoHyphens w:val="1"/>
      </w:pPr>
      <w:r>
        <w:rPr>
          <w:rFonts w:ascii="Aptos" w:hAnsi="Aptos" w:eastAsia="Aptos"/>
          <w:b/>
          <w:color w:val="0F2A41"/>
          <w:sz w:val="32"/>
        </w:rPr>
        <w:t>17. COMMERCIAL DOCUMENTS</w:t>
      </w:r>
    </w:p>
    <w:p>
      <w:pPr>
        <w:keepLines w:val="0"/>
        <w:spacing w:after="120" w:line="276" w:lineRule="auto"/>
        <w:jc w:val="both"/>
        <w:suppressAutoHyphens w:val="1"/>
      </w:pPr>
      <w:r>
        <w:rPr>
          <w:rFonts w:ascii="Aptos" w:hAnsi="Aptos" w:eastAsia="Aptos"/>
          <w:b w:val="0"/>
          <w:sz w:val="22"/>
        </w:rPr>
        <w:t>Trade Base Hub commercial documents may include templates, adapted templates or transaction-specific drafting.</w:t>
      </w:r>
    </w:p>
    <w:p>
      <w:pPr>
        <w:keepLines w:val="0"/>
        <w:spacing w:after="120" w:line="276" w:lineRule="auto"/>
        <w:jc w:val="both"/>
        <w:suppressAutoHyphens w:val="1"/>
      </w:pPr>
      <w:r>
        <w:rPr>
          <w:rFonts w:ascii="Aptos" w:hAnsi="Aptos" w:eastAsia="Aptos"/>
          <w:b w:val="0"/>
          <w:sz w:val="22"/>
        </w:rPr>
        <w:t>Users acknowledge that:</w:t>
      </w:r>
    </w:p>
    <w:p>
      <w:pPr>
        <w:pStyle w:val="ListBullet"/>
        <w:spacing w:after="40" w:line="276" w:lineRule="auto"/>
        <w:jc w:val="both"/>
        <w:suppressAutoHyphens w:val="1"/>
      </w:pPr>
      <w:r>
        <w:rPr>
          <w:rFonts w:ascii="Aptos" w:hAnsi="Aptos" w:eastAsia="Aptos"/>
          <w:b w:val="0"/>
          <w:sz w:val="22"/>
        </w:rPr>
        <w:t>every transaction is different;</w:t>
      </w:r>
    </w:p>
    <w:p>
      <w:pPr>
        <w:pStyle w:val="ListBullet"/>
        <w:spacing w:after="40" w:line="276" w:lineRule="auto"/>
        <w:jc w:val="both"/>
        <w:suppressAutoHyphens w:val="1"/>
      </w:pPr>
      <w:r>
        <w:rPr>
          <w:rFonts w:ascii="Aptos" w:hAnsi="Aptos" w:eastAsia="Aptos"/>
          <w:b w:val="0"/>
          <w:sz w:val="22"/>
        </w:rPr>
        <w:t>jurisdictional requirements vary;</w:t>
      </w:r>
    </w:p>
    <w:p>
      <w:pPr>
        <w:pStyle w:val="ListBullet"/>
        <w:spacing w:after="40" w:line="276" w:lineRule="auto"/>
        <w:jc w:val="both"/>
        <w:suppressAutoHyphens w:val="1"/>
      </w:pPr>
      <w:r>
        <w:rPr>
          <w:rFonts w:ascii="Aptos" w:hAnsi="Aptos" w:eastAsia="Aptos"/>
          <w:b w:val="0"/>
          <w:sz w:val="22"/>
        </w:rPr>
        <w:t>regulatory requirements vary;</w:t>
      </w:r>
    </w:p>
    <w:p>
      <w:pPr>
        <w:pStyle w:val="ListBullet"/>
        <w:spacing w:after="40" w:line="276" w:lineRule="auto"/>
        <w:jc w:val="both"/>
        <w:suppressAutoHyphens w:val="1"/>
      </w:pPr>
      <w:r>
        <w:rPr>
          <w:rFonts w:ascii="Aptos" w:hAnsi="Aptos" w:eastAsia="Aptos"/>
          <w:b w:val="0"/>
          <w:sz w:val="22"/>
        </w:rPr>
        <w:t>transaction terms may require specialist professional advice; and</w:t>
      </w:r>
    </w:p>
    <w:p>
      <w:pPr>
        <w:pStyle w:val="ListBullet"/>
        <w:spacing w:after="40" w:line="276" w:lineRule="auto"/>
        <w:jc w:val="both"/>
        <w:suppressAutoHyphens w:val="1"/>
      </w:pPr>
      <w:r>
        <w:rPr>
          <w:rFonts w:ascii="Aptos" w:hAnsi="Aptos" w:eastAsia="Aptos"/>
          <w:b w:val="0"/>
          <w:sz w:val="22"/>
        </w:rPr>
        <w:t>a template should not be executed without ensuring it reflects the actual commercial arrangement.</w:t>
      </w:r>
    </w:p>
    <w:p>
      <w:pPr>
        <w:keepLines w:val="0"/>
        <w:spacing w:after="120" w:line="276" w:lineRule="auto"/>
        <w:jc w:val="both"/>
        <w:suppressAutoHyphens w:val="1"/>
      </w:pPr>
      <w:r>
        <w:rPr>
          <w:rFonts w:ascii="Aptos" w:hAnsi="Aptos" w:eastAsia="Aptos"/>
          <w:b w:val="0"/>
          <w:sz w:val="22"/>
        </w:rPr>
        <w:t>Responsibility for execution remains with the parties signing the document.</w:t>
      </w:r>
    </w:p>
    <w:p>
      <w:pPr>
        <w:pStyle w:val="Heading1"/>
        <w:keepNext/>
        <w:spacing w:before="200" w:after="120"/>
        <w:suppressAutoHyphens w:val="1"/>
      </w:pPr>
      <w:r>
        <w:rPr>
          <w:rFonts w:ascii="Aptos" w:hAnsi="Aptos" w:eastAsia="Aptos"/>
          <w:b/>
          <w:color w:val="0F2A41"/>
          <w:sz w:val="32"/>
        </w:rPr>
        <w:t>18. FEES AND COMMISSIONS</w:t>
      </w:r>
    </w:p>
    <w:p>
      <w:pPr>
        <w:keepLines w:val="0"/>
        <w:spacing w:after="120" w:line="276" w:lineRule="auto"/>
        <w:jc w:val="both"/>
        <w:suppressAutoHyphens w:val="1"/>
      </w:pPr>
      <w:r>
        <w:rPr>
          <w:rFonts w:ascii="Aptos" w:hAnsi="Aptos" w:eastAsia="Aptos"/>
          <w:b w:val="0"/>
          <w:sz w:val="22"/>
        </w:rPr>
        <w:t>No person acquires a right to a fee, commission, success payment, referral payment or other compensation merely by:</w:t>
      </w:r>
    </w:p>
    <w:p>
      <w:pPr>
        <w:pStyle w:val="ListBullet"/>
        <w:spacing w:after="40" w:line="276" w:lineRule="auto"/>
        <w:jc w:val="both"/>
        <w:suppressAutoHyphens w:val="1"/>
      </w:pPr>
      <w:r>
        <w:rPr>
          <w:rFonts w:ascii="Aptos" w:hAnsi="Aptos" w:eastAsia="Aptos"/>
          <w:b w:val="0"/>
          <w:sz w:val="22"/>
        </w:rPr>
        <w:t>joining Trade Base Hub;</w:t>
      </w:r>
    </w:p>
    <w:p>
      <w:pPr>
        <w:pStyle w:val="ListBullet"/>
        <w:spacing w:after="40" w:line="276" w:lineRule="auto"/>
        <w:jc w:val="both"/>
        <w:suppressAutoHyphens w:val="1"/>
      </w:pPr>
      <w:r>
        <w:rPr>
          <w:rFonts w:ascii="Aptos" w:hAnsi="Aptos" w:eastAsia="Aptos"/>
          <w:b w:val="0"/>
          <w:sz w:val="22"/>
        </w:rPr>
        <w:t>participating in a Discord server;</w:t>
      </w:r>
    </w:p>
    <w:p>
      <w:pPr>
        <w:pStyle w:val="ListBullet"/>
        <w:spacing w:after="40" w:line="276" w:lineRule="auto"/>
        <w:jc w:val="both"/>
        <w:suppressAutoHyphens w:val="1"/>
      </w:pPr>
      <w:r>
        <w:rPr>
          <w:rFonts w:ascii="Aptos" w:hAnsi="Aptos" w:eastAsia="Aptos"/>
          <w:b w:val="0"/>
          <w:sz w:val="22"/>
        </w:rPr>
        <w:t>attending a meeting;</w:t>
      </w:r>
    </w:p>
    <w:p>
      <w:pPr>
        <w:pStyle w:val="ListBullet"/>
        <w:spacing w:after="40" w:line="276" w:lineRule="auto"/>
        <w:jc w:val="both"/>
        <w:suppressAutoHyphens w:val="1"/>
      </w:pPr>
      <w:r>
        <w:rPr>
          <w:rFonts w:ascii="Aptos" w:hAnsi="Aptos" w:eastAsia="Aptos"/>
          <w:b w:val="0"/>
          <w:sz w:val="22"/>
        </w:rPr>
        <w:t>providing information;</w:t>
      </w:r>
    </w:p>
    <w:p>
      <w:pPr>
        <w:pStyle w:val="ListBullet"/>
        <w:spacing w:after="40" w:line="276" w:lineRule="auto"/>
        <w:jc w:val="both"/>
        <w:suppressAutoHyphens w:val="1"/>
      </w:pPr>
      <w:r>
        <w:rPr>
          <w:rFonts w:ascii="Aptos" w:hAnsi="Aptos" w:eastAsia="Aptos"/>
          <w:b w:val="0"/>
          <w:sz w:val="22"/>
        </w:rPr>
        <w:t>making an introduction;</w:t>
      </w:r>
    </w:p>
    <w:p>
      <w:pPr>
        <w:pStyle w:val="ListBullet"/>
        <w:spacing w:after="40" w:line="276" w:lineRule="auto"/>
        <w:jc w:val="both"/>
        <w:suppressAutoHyphens w:val="1"/>
      </w:pPr>
      <w:r>
        <w:rPr>
          <w:rFonts w:ascii="Aptos" w:hAnsi="Aptos" w:eastAsia="Aptos"/>
          <w:b w:val="0"/>
          <w:sz w:val="22"/>
        </w:rPr>
        <w:t>appearing in a broker genealogy;</w:t>
      </w:r>
    </w:p>
    <w:p>
      <w:pPr>
        <w:pStyle w:val="ListBullet"/>
        <w:spacing w:after="40" w:line="276" w:lineRule="auto"/>
        <w:jc w:val="both"/>
        <w:suppressAutoHyphens w:val="1"/>
      </w:pPr>
      <w:r>
        <w:rPr>
          <w:rFonts w:ascii="Aptos" w:hAnsi="Aptos" w:eastAsia="Aptos"/>
          <w:b w:val="0"/>
          <w:sz w:val="22"/>
        </w:rPr>
        <w:t>communicating with a principal; or</w:t>
      </w:r>
    </w:p>
    <w:p>
      <w:pPr>
        <w:pStyle w:val="ListBullet"/>
        <w:spacing w:after="40" w:line="276" w:lineRule="auto"/>
        <w:jc w:val="both"/>
        <w:suppressAutoHyphens w:val="1"/>
      </w:pPr>
      <w:r>
        <w:rPr>
          <w:rFonts w:ascii="Aptos" w:hAnsi="Aptos" w:eastAsia="Aptos"/>
          <w:b w:val="0"/>
          <w:sz w:val="22"/>
        </w:rPr>
        <w:t>assisting with a transaction.</w:t>
      </w:r>
    </w:p>
    <w:p>
      <w:pPr>
        <w:keepLines w:val="0"/>
        <w:spacing w:after="120" w:line="276" w:lineRule="auto"/>
        <w:jc w:val="both"/>
        <w:suppressAutoHyphens w:val="1"/>
      </w:pPr>
      <w:r>
        <w:rPr>
          <w:rFonts w:ascii="Aptos" w:hAnsi="Aptos" w:eastAsia="Aptos"/>
          <w:b w:val="0"/>
          <w:sz w:val="22"/>
        </w:rPr>
        <w:t>Fee entitlement must be established through an applicable written agreement.</w:t>
      </w:r>
    </w:p>
    <w:p>
      <w:pPr>
        <w:keepLines w:val="0"/>
        <w:spacing w:after="120" w:line="276" w:lineRule="auto"/>
        <w:jc w:val="both"/>
        <w:suppressAutoHyphens w:val="1"/>
      </w:pPr>
      <w:r>
        <w:rPr>
          <w:rFonts w:ascii="Aptos" w:hAnsi="Aptos" w:eastAsia="Aptos"/>
          <w:b w:val="0"/>
          <w:sz w:val="22"/>
        </w:rPr>
        <w:t>Trade Base Hub may require a Fee Agreement, IMFPA, Commission Agreement or other appropriate written instrument before recognising or facilitating a fee structure.</w:t>
      </w:r>
    </w:p>
    <w:p>
      <w:pPr>
        <w:pStyle w:val="Heading1"/>
        <w:keepNext/>
        <w:spacing w:before="200" w:after="120"/>
        <w:suppressAutoHyphens w:val="1"/>
      </w:pPr>
      <w:r>
        <w:rPr>
          <w:rFonts w:ascii="Aptos" w:hAnsi="Aptos" w:eastAsia="Aptos"/>
          <w:b/>
          <w:color w:val="0F2A41"/>
          <w:sz w:val="32"/>
        </w:rPr>
        <w:t>19. DIGITAL ASSETS AND DIGITAL CURRENCY</w:t>
      </w:r>
    </w:p>
    <w:p>
      <w:pPr>
        <w:keepLines w:val="0"/>
        <w:spacing w:after="120" w:line="276" w:lineRule="auto"/>
        <w:jc w:val="both"/>
        <w:suppressAutoHyphens w:val="1"/>
      </w:pPr>
      <w:r>
        <w:rPr>
          <w:rFonts w:ascii="Aptos" w:hAnsi="Aptos" w:eastAsia="Aptos"/>
          <w:b w:val="0"/>
          <w:sz w:val="22"/>
        </w:rPr>
        <w:t>Where Trade Base Hub provides information or commercial support concerning digital currencies or digital assets:</w:t>
      </w:r>
    </w:p>
    <w:p>
      <w:pPr>
        <w:pStyle w:val="ListBullet"/>
        <w:spacing w:after="40" w:line="276" w:lineRule="auto"/>
        <w:jc w:val="both"/>
        <w:suppressAutoHyphens w:val="1"/>
      </w:pPr>
      <w:r>
        <w:rPr>
          <w:rFonts w:ascii="Aptos" w:hAnsi="Aptos" w:eastAsia="Aptos"/>
          <w:b w:val="0"/>
          <w:sz w:val="22"/>
        </w:rPr>
        <w:t>such services do not automatically constitute investment advice;</w:t>
      </w:r>
    </w:p>
    <w:p>
      <w:pPr>
        <w:pStyle w:val="ListBullet"/>
        <w:spacing w:after="40" w:line="276" w:lineRule="auto"/>
        <w:jc w:val="both"/>
        <w:suppressAutoHyphens w:val="1"/>
      </w:pPr>
      <w:r>
        <w:rPr>
          <w:rFonts w:ascii="Aptos" w:hAnsi="Aptos" w:eastAsia="Aptos"/>
          <w:b w:val="0"/>
          <w:sz w:val="22"/>
        </w:rPr>
        <w:t>Trade Base Hub does not guarantee the value of any digital asset;</w:t>
      </w:r>
    </w:p>
    <w:p>
      <w:pPr>
        <w:pStyle w:val="ListBullet"/>
        <w:spacing w:after="40" w:line="276" w:lineRule="auto"/>
        <w:jc w:val="both"/>
        <w:suppressAutoHyphens w:val="1"/>
      </w:pPr>
      <w:r>
        <w:rPr>
          <w:rFonts w:ascii="Aptos" w:hAnsi="Aptos" w:eastAsia="Aptos"/>
          <w:b w:val="0"/>
          <w:sz w:val="22"/>
        </w:rPr>
        <w:t>digital-asset values may fluctuate materially;</w:t>
      </w:r>
    </w:p>
    <w:p>
      <w:pPr>
        <w:pStyle w:val="ListBullet"/>
        <w:spacing w:after="40" w:line="276" w:lineRule="auto"/>
        <w:jc w:val="both"/>
        <w:suppressAutoHyphens w:val="1"/>
      </w:pPr>
      <w:r>
        <w:rPr>
          <w:rFonts w:ascii="Aptos" w:hAnsi="Aptos" w:eastAsia="Aptos"/>
          <w:b w:val="0"/>
          <w:sz w:val="22"/>
        </w:rPr>
        <w:t>legal and regulatory treatment varies by jurisdiction; and</w:t>
      </w:r>
    </w:p>
    <w:p>
      <w:pPr>
        <w:pStyle w:val="ListBullet"/>
        <w:spacing w:after="40" w:line="276" w:lineRule="auto"/>
        <w:jc w:val="both"/>
        <w:suppressAutoHyphens w:val="1"/>
      </w:pPr>
      <w:r>
        <w:rPr>
          <w:rFonts w:ascii="Aptos" w:hAnsi="Aptos" w:eastAsia="Aptos"/>
          <w:b w:val="0"/>
          <w:sz w:val="22"/>
        </w:rPr>
        <w:t>users remain responsible for obtaining appropriate financial, tax, regulatory and legal advice.</w:t>
      </w:r>
    </w:p>
    <w:p>
      <w:pPr>
        <w:keepLines w:val="0"/>
        <w:spacing w:after="120" w:line="276" w:lineRule="auto"/>
        <w:jc w:val="both"/>
        <w:suppressAutoHyphens w:val="1"/>
      </w:pPr>
      <w:r>
        <w:rPr>
          <w:rFonts w:ascii="Aptos" w:hAnsi="Aptos" w:eastAsia="Aptos"/>
          <w:b w:val="0"/>
          <w:sz w:val="22"/>
        </w:rPr>
        <w:t>Trade Base Hub shall not represent guaranteed investment returns, guaranteed appreciation or risk-free digital-asset transactions.</w:t>
      </w:r>
    </w:p>
    <w:p>
      <w:pPr>
        <w:pStyle w:val="Heading1"/>
        <w:keepNext/>
        <w:spacing w:before="200" w:after="120"/>
        <w:suppressAutoHyphens w:val="1"/>
      </w:pPr>
      <w:r>
        <w:rPr>
          <w:rFonts w:ascii="Aptos" w:hAnsi="Aptos" w:eastAsia="Aptos"/>
          <w:b/>
          <w:color w:val="0F2A41"/>
          <w:sz w:val="32"/>
        </w:rPr>
        <w:t>20. BLACKLIST, GREY LIST AND RISK INFORMATION</w:t>
      </w:r>
    </w:p>
    <w:p>
      <w:pPr>
        <w:keepLines w:val="0"/>
        <w:spacing w:after="120" w:line="276" w:lineRule="auto"/>
        <w:jc w:val="both"/>
        <w:suppressAutoHyphens w:val="1"/>
      </w:pPr>
      <w:r>
        <w:rPr>
          <w:rFonts w:ascii="Aptos" w:hAnsi="Aptos" w:eastAsia="Aptos"/>
          <w:b w:val="0"/>
          <w:sz w:val="22"/>
        </w:rPr>
        <w:t>Trade Base Hub may maintain internal risk classifications relating to persons, entities or transactions.</w:t>
      </w:r>
    </w:p>
    <w:p>
      <w:pPr>
        <w:keepLines w:val="0"/>
        <w:spacing w:after="120" w:line="276" w:lineRule="auto"/>
        <w:jc w:val="both"/>
        <w:suppressAutoHyphens w:val="1"/>
      </w:pPr>
      <w:r>
        <w:rPr>
          <w:rFonts w:ascii="Aptos" w:hAnsi="Aptos" w:eastAsia="Aptos"/>
          <w:b w:val="0"/>
          <w:sz w:val="22"/>
        </w:rPr>
        <w:t>Any such classification should be based on available evidence and may include:</w:t>
      </w:r>
    </w:p>
    <w:p>
      <w:pPr>
        <w:pStyle w:val="ListBullet"/>
        <w:spacing w:after="40" w:line="276" w:lineRule="auto"/>
        <w:jc w:val="both"/>
        <w:suppressAutoHyphens w:val="1"/>
      </w:pPr>
      <w:r>
        <w:rPr>
          <w:rFonts w:ascii="Aptos" w:hAnsi="Aptos" w:eastAsia="Aptos"/>
          <w:b w:val="0"/>
          <w:sz w:val="22"/>
        </w:rPr>
        <w:t>pending review;</w:t>
      </w:r>
    </w:p>
    <w:p>
      <w:pPr>
        <w:pStyle w:val="ListBullet"/>
        <w:spacing w:after="40" w:line="276" w:lineRule="auto"/>
        <w:jc w:val="both"/>
        <w:suppressAutoHyphens w:val="1"/>
      </w:pPr>
      <w:r>
        <w:rPr>
          <w:rFonts w:ascii="Aptos" w:hAnsi="Aptos" w:eastAsia="Aptos"/>
          <w:b w:val="0"/>
          <w:sz w:val="22"/>
        </w:rPr>
        <w:t>caution;</w:t>
      </w:r>
    </w:p>
    <w:p>
      <w:pPr>
        <w:pStyle w:val="ListBullet"/>
        <w:spacing w:after="40" w:line="276" w:lineRule="auto"/>
        <w:jc w:val="both"/>
        <w:suppressAutoHyphens w:val="1"/>
      </w:pPr>
      <w:r>
        <w:rPr>
          <w:rFonts w:ascii="Aptos" w:hAnsi="Aptos" w:eastAsia="Aptos"/>
          <w:b w:val="0"/>
          <w:sz w:val="22"/>
        </w:rPr>
        <w:t>temporary restriction;</w:t>
      </w:r>
    </w:p>
    <w:p>
      <w:pPr>
        <w:pStyle w:val="ListBullet"/>
        <w:spacing w:after="40" w:line="276" w:lineRule="auto"/>
        <w:jc w:val="both"/>
        <w:suppressAutoHyphens w:val="1"/>
      </w:pPr>
      <w:r>
        <w:rPr>
          <w:rFonts w:ascii="Aptos" w:hAnsi="Aptos" w:eastAsia="Aptos"/>
          <w:b w:val="0"/>
          <w:sz w:val="22"/>
        </w:rPr>
        <w:t>enhanced due diligence;</w:t>
      </w:r>
    </w:p>
    <w:p>
      <w:pPr>
        <w:pStyle w:val="ListBullet"/>
        <w:spacing w:after="40" w:line="276" w:lineRule="auto"/>
        <w:jc w:val="both"/>
        <w:suppressAutoHyphens w:val="1"/>
      </w:pPr>
      <w:r>
        <w:rPr>
          <w:rFonts w:ascii="Aptos" w:hAnsi="Aptos" w:eastAsia="Aptos"/>
          <w:b w:val="0"/>
          <w:sz w:val="22"/>
        </w:rPr>
        <w:t>suspension; or</w:t>
      </w:r>
    </w:p>
    <w:p>
      <w:pPr>
        <w:pStyle w:val="ListBullet"/>
        <w:spacing w:after="40" w:line="276" w:lineRule="auto"/>
        <w:jc w:val="both"/>
        <w:suppressAutoHyphens w:val="1"/>
      </w:pPr>
      <w:r>
        <w:rPr>
          <w:rFonts w:ascii="Aptos" w:hAnsi="Aptos" w:eastAsia="Aptos"/>
          <w:b w:val="0"/>
          <w:sz w:val="22"/>
        </w:rPr>
        <w:t>exclusion.</w:t>
      </w:r>
    </w:p>
    <w:p>
      <w:pPr>
        <w:keepLines w:val="0"/>
        <w:spacing w:after="120" w:line="276" w:lineRule="auto"/>
        <w:jc w:val="both"/>
        <w:suppressAutoHyphens w:val="1"/>
      </w:pPr>
      <w:r>
        <w:rPr>
          <w:rFonts w:ascii="Aptos" w:hAnsi="Aptos" w:eastAsia="Aptos"/>
          <w:b w:val="0"/>
          <w:sz w:val="22"/>
        </w:rPr>
        <w:t>Such classifications are intended primarily for internal risk-management and platform-protection purposes.</w:t>
      </w:r>
    </w:p>
    <w:p>
      <w:pPr>
        <w:keepLines w:val="0"/>
        <w:spacing w:after="120" w:line="276" w:lineRule="auto"/>
        <w:jc w:val="both"/>
        <w:suppressAutoHyphens w:val="1"/>
      </w:pPr>
      <w:r>
        <w:rPr>
          <w:rFonts w:ascii="Aptos" w:hAnsi="Aptos" w:eastAsia="Aptos"/>
          <w:b w:val="0"/>
          <w:sz w:val="22"/>
        </w:rPr>
        <w:t>Trade Base Hub shall seek to distinguish between:</w:t>
      </w:r>
    </w:p>
    <w:p>
      <w:pPr>
        <w:pStyle w:val="ListBullet"/>
        <w:spacing w:after="40" w:line="276" w:lineRule="auto"/>
        <w:jc w:val="both"/>
        <w:suppressAutoHyphens w:val="1"/>
      </w:pPr>
      <w:r>
        <w:rPr>
          <w:rFonts w:ascii="Aptos" w:hAnsi="Aptos" w:eastAsia="Aptos"/>
          <w:b w:val="0"/>
          <w:sz w:val="22"/>
        </w:rPr>
        <w:t>verified facts;</w:t>
      </w:r>
    </w:p>
    <w:p>
      <w:pPr>
        <w:pStyle w:val="ListBullet"/>
        <w:spacing w:after="40" w:line="276" w:lineRule="auto"/>
        <w:jc w:val="both"/>
        <w:suppressAutoHyphens w:val="1"/>
      </w:pPr>
      <w:r>
        <w:rPr>
          <w:rFonts w:ascii="Aptos" w:hAnsi="Aptos" w:eastAsia="Aptos"/>
          <w:b w:val="0"/>
          <w:sz w:val="22"/>
        </w:rPr>
        <w:t>allegations;</w:t>
      </w:r>
    </w:p>
    <w:p>
      <w:pPr>
        <w:pStyle w:val="ListBullet"/>
        <w:spacing w:after="40" w:line="276" w:lineRule="auto"/>
        <w:jc w:val="both"/>
        <w:suppressAutoHyphens w:val="1"/>
      </w:pPr>
      <w:r>
        <w:rPr>
          <w:rFonts w:ascii="Aptos" w:hAnsi="Aptos" w:eastAsia="Aptos"/>
          <w:b w:val="0"/>
          <w:sz w:val="22"/>
        </w:rPr>
        <w:t>unresolved disputes;</w:t>
      </w:r>
    </w:p>
    <w:p>
      <w:pPr>
        <w:pStyle w:val="ListBullet"/>
        <w:spacing w:after="40" w:line="276" w:lineRule="auto"/>
        <w:jc w:val="both"/>
        <w:suppressAutoHyphens w:val="1"/>
      </w:pPr>
      <w:r>
        <w:rPr>
          <w:rFonts w:ascii="Aptos" w:hAnsi="Aptos" w:eastAsia="Aptos"/>
          <w:b w:val="0"/>
          <w:sz w:val="22"/>
        </w:rPr>
        <w:t>compliance concerns; and</w:t>
      </w:r>
    </w:p>
    <w:p>
      <w:pPr>
        <w:pStyle w:val="ListBullet"/>
        <w:spacing w:after="40" w:line="276" w:lineRule="auto"/>
        <w:jc w:val="both"/>
        <w:suppressAutoHyphens w:val="1"/>
      </w:pPr>
      <w:r>
        <w:rPr>
          <w:rFonts w:ascii="Aptos" w:hAnsi="Aptos" w:eastAsia="Aptos"/>
          <w:b w:val="0"/>
          <w:sz w:val="22"/>
        </w:rPr>
        <w:t>internal risk assessments.</w:t>
      </w:r>
    </w:p>
    <w:p>
      <w:pPr>
        <w:keepLines w:val="0"/>
        <w:spacing w:after="120" w:line="276" w:lineRule="auto"/>
        <w:jc w:val="both"/>
        <w:suppressAutoHyphens w:val="1"/>
      </w:pPr>
      <w:r>
        <w:rPr>
          <w:rFonts w:ascii="Aptos" w:hAnsi="Aptos" w:eastAsia="Aptos"/>
          <w:b w:val="0"/>
          <w:sz w:val="22"/>
        </w:rPr>
        <w:t>A dispute or allegation does not automatically establish wrongdoing.</w:t>
      </w:r>
    </w:p>
    <w:p>
      <w:pPr>
        <w:keepLines w:val="0"/>
        <w:spacing w:after="120" w:line="276" w:lineRule="auto"/>
        <w:jc w:val="both"/>
        <w:suppressAutoHyphens w:val="1"/>
      </w:pPr>
      <w:r>
        <w:rPr>
          <w:rFonts w:ascii="Aptos" w:hAnsi="Aptos" w:eastAsia="Aptos"/>
          <w:b w:val="0"/>
          <w:sz w:val="22"/>
        </w:rPr>
        <w:t>Where appropriate, affected parties may be provided an opportunity to respond or appeal in accordance with Trade Base Hub procedures.</w:t>
      </w:r>
    </w:p>
    <w:p>
      <w:pPr>
        <w:pStyle w:val="Heading1"/>
        <w:keepNext/>
        <w:spacing w:before="200" w:after="120"/>
        <w:suppressAutoHyphens w:val="1"/>
      </w:pPr>
      <w:r>
        <w:rPr>
          <w:rFonts w:ascii="Aptos" w:hAnsi="Aptos" w:eastAsia="Aptos"/>
          <w:b/>
          <w:color w:val="0F2A41"/>
          <w:sz w:val="32"/>
        </w:rPr>
        <w:t>21. FRAUD AND MISREPRESENTATION</w:t>
      </w:r>
    </w:p>
    <w:p>
      <w:pPr>
        <w:keepLines w:val="0"/>
        <w:spacing w:after="120" w:line="276" w:lineRule="auto"/>
        <w:jc w:val="both"/>
        <w:suppressAutoHyphens w:val="1"/>
      </w:pPr>
      <w:r>
        <w:rPr>
          <w:rFonts w:ascii="Aptos" w:hAnsi="Aptos" w:eastAsia="Aptos"/>
          <w:b w:val="0"/>
          <w:sz w:val="22"/>
        </w:rPr>
        <w:t>Trade Base Hub may immediately restrict, suspend or terminate access where there are reasonable grounds to suspect:</w:t>
      </w:r>
    </w:p>
    <w:p>
      <w:pPr>
        <w:pStyle w:val="ListBullet"/>
        <w:spacing w:after="40" w:line="276" w:lineRule="auto"/>
        <w:jc w:val="both"/>
        <w:suppressAutoHyphens w:val="1"/>
      </w:pPr>
      <w:r>
        <w:rPr>
          <w:rFonts w:ascii="Aptos" w:hAnsi="Aptos" w:eastAsia="Aptos"/>
          <w:b w:val="0"/>
          <w:sz w:val="22"/>
        </w:rPr>
        <w:t>fraudulent documentation;</w:t>
      </w:r>
    </w:p>
    <w:p>
      <w:pPr>
        <w:pStyle w:val="ListBullet"/>
        <w:spacing w:after="40" w:line="276" w:lineRule="auto"/>
        <w:jc w:val="both"/>
        <w:suppressAutoHyphens w:val="1"/>
      </w:pPr>
      <w:r>
        <w:rPr>
          <w:rFonts w:ascii="Aptos" w:hAnsi="Aptos" w:eastAsia="Aptos"/>
          <w:b w:val="0"/>
          <w:sz w:val="22"/>
        </w:rPr>
        <w:t>impersonation;</w:t>
      </w:r>
    </w:p>
    <w:p>
      <w:pPr>
        <w:pStyle w:val="ListBullet"/>
        <w:spacing w:after="40" w:line="276" w:lineRule="auto"/>
        <w:jc w:val="both"/>
        <w:suppressAutoHyphens w:val="1"/>
      </w:pPr>
      <w:r>
        <w:rPr>
          <w:rFonts w:ascii="Aptos" w:hAnsi="Aptos" w:eastAsia="Aptos"/>
          <w:b w:val="0"/>
          <w:sz w:val="22"/>
        </w:rPr>
        <w:t>false authority;</w:t>
      </w:r>
    </w:p>
    <w:p>
      <w:pPr>
        <w:pStyle w:val="ListBullet"/>
        <w:spacing w:after="40" w:line="276" w:lineRule="auto"/>
        <w:jc w:val="both"/>
        <w:suppressAutoHyphens w:val="1"/>
      </w:pPr>
      <w:r>
        <w:rPr>
          <w:rFonts w:ascii="Aptos" w:hAnsi="Aptos" w:eastAsia="Aptos"/>
          <w:b w:val="0"/>
          <w:sz w:val="22"/>
        </w:rPr>
        <w:t>false Proof of Funds;</w:t>
      </w:r>
    </w:p>
    <w:p>
      <w:pPr>
        <w:pStyle w:val="ListBullet"/>
        <w:spacing w:after="40" w:line="276" w:lineRule="auto"/>
        <w:jc w:val="both"/>
        <w:suppressAutoHyphens w:val="1"/>
      </w:pPr>
      <w:r>
        <w:rPr>
          <w:rFonts w:ascii="Aptos" w:hAnsi="Aptos" w:eastAsia="Aptos"/>
          <w:b w:val="0"/>
          <w:sz w:val="22"/>
        </w:rPr>
        <w:t>fabricated Proof of Product;</w:t>
      </w:r>
    </w:p>
    <w:p>
      <w:pPr>
        <w:pStyle w:val="ListBullet"/>
        <w:spacing w:after="40" w:line="276" w:lineRule="auto"/>
        <w:jc w:val="both"/>
        <w:suppressAutoHyphens w:val="1"/>
      </w:pPr>
      <w:r>
        <w:rPr>
          <w:rFonts w:ascii="Aptos" w:hAnsi="Aptos" w:eastAsia="Aptos"/>
          <w:b w:val="0"/>
          <w:sz w:val="22"/>
        </w:rPr>
        <w:t>deliberate concealment;</w:t>
      </w:r>
    </w:p>
    <w:p>
      <w:pPr>
        <w:pStyle w:val="ListBullet"/>
        <w:spacing w:after="40" w:line="276" w:lineRule="auto"/>
        <w:jc w:val="both"/>
        <w:suppressAutoHyphens w:val="1"/>
      </w:pPr>
      <w:r>
        <w:rPr>
          <w:rFonts w:ascii="Aptos" w:hAnsi="Aptos" w:eastAsia="Aptos"/>
          <w:b w:val="0"/>
          <w:sz w:val="22"/>
        </w:rPr>
        <w:t>identity misrepresentation;</w:t>
      </w:r>
    </w:p>
    <w:p>
      <w:pPr>
        <w:pStyle w:val="ListBullet"/>
        <w:spacing w:after="40" w:line="276" w:lineRule="auto"/>
        <w:jc w:val="both"/>
        <w:suppressAutoHyphens w:val="1"/>
      </w:pPr>
      <w:r>
        <w:rPr>
          <w:rFonts w:ascii="Aptos" w:hAnsi="Aptos" w:eastAsia="Aptos"/>
          <w:b w:val="0"/>
          <w:sz w:val="22"/>
        </w:rPr>
        <w:t>undisclosed intermediaries;</w:t>
      </w:r>
    </w:p>
    <w:p>
      <w:pPr>
        <w:pStyle w:val="ListBullet"/>
        <w:spacing w:after="40" w:line="276" w:lineRule="auto"/>
        <w:jc w:val="both"/>
        <w:suppressAutoHyphens w:val="1"/>
      </w:pPr>
      <w:r>
        <w:rPr>
          <w:rFonts w:ascii="Aptos" w:hAnsi="Aptos" w:eastAsia="Aptos"/>
          <w:b w:val="0"/>
          <w:sz w:val="22"/>
        </w:rPr>
        <w:t>attempted circumvention;</w:t>
      </w:r>
    </w:p>
    <w:p>
      <w:pPr>
        <w:pStyle w:val="ListBullet"/>
        <w:spacing w:after="40" w:line="276" w:lineRule="auto"/>
        <w:jc w:val="both"/>
        <w:suppressAutoHyphens w:val="1"/>
      </w:pPr>
      <w:r>
        <w:rPr>
          <w:rFonts w:ascii="Aptos" w:hAnsi="Aptos" w:eastAsia="Aptos"/>
          <w:b w:val="0"/>
          <w:sz w:val="22"/>
        </w:rPr>
        <w:t>sanctions concerns;</w:t>
      </w:r>
    </w:p>
    <w:p>
      <w:pPr>
        <w:pStyle w:val="ListBullet"/>
        <w:spacing w:after="40" w:line="276" w:lineRule="auto"/>
        <w:jc w:val="both"/>
        <w:suppressAutoHyphens w:val="1"/>
      </w:pPr>
      <w:r>
        <w:rPr>
          <w:rFonts w:ascii="Aptos" w:hAnsi="Aptos" w:eastAsia="Aptos"/>
          <w:b w:val="0"/>
          <w:sz w:val="22"/>
        </w:rPr>
        <w:t>illegal activity; or</w:t>
      </w:r>
    </w:p>
    <w:p>
      <w:pPr>
        <w:pStyle w:val="ListBullet"/>
        <w:spacing w:after="40" w:line="276" w:lineRule="auto"/>
        <w:jc w:val="both"/>
        <w:suppressAutoHyphens w:val="1"/>
      </w:pPr>
      <w:r>
        <w:rPr>
          <w:rFonts w:ascii="Aptos" w:hAnsi="Aptos" w:eastAsia="Aptos"/>
          <w:b w:val="0"/>
          <w:sz w:val="22"/>
        </w:rPr>
        <w:t>material misrepresentation.</w:t>
      </w:r>
    </w:p>
    <w:p>
      <w:pPr>
        <w:keepLines w:val="0"/>
        <w:spacing w:after="120" w:line="276" w:lineRule="auto"/>
        <w:jc w:val="both"/>
        <w:suppressAutoHyphens w:val="1"/>
      </w:pPr>
      <w:r>
        <w:rPr>
          <w:rFonts w:ascii="Aptos" w:hAnsi="Aptos" w:eastAsia="Aptos"/>
          <w:b w:val="0"/>
          <w:sz w:val="22"/>
        </w:rPr>
        <w:t>Trade Base Hub may preserve relevant records and, where legally appropriate, refer matters to professional advisers, contractual counterparties, payment providers, platforms or competent authorities.</w:t>
      </w:r>
    </w:p>
    <w:p>
      <w:pPr>
        <w:pStyle w:val="Heading1"/>
        <w:keepNext/>
        <w:spacing w:before="200" w:after="120"/>
        <w:suppressAutoHyphens w:val="1"/>
      </w:pPr>
      <w:r>
        <w:rPr>
          <w:rFonts w:ascii="Aptos" w:hAnsi="Aptos" w:eastAsia="Aptos"/>
          <w:b/>
          <w:color w:val="0F2A41"/>
          <w:sz w:val="32"/>
        </w:rPr>
        <w:t>22. CONFIDENTIALITY</w:t>
      </w:r>
    </w:p>
    <w:p>
      <w:pPr>
        <w:keepLines w:val="0"/>
        <w:spacing w:after="120" w:line="276" w:lineRule="auto"/>
        <w:jc w:val="both"/>
        <w:suppressAutoHyphens w:val="1"/>
      </w:pPr>
      <w:r>
        <w:rPr>
          <w:rFonts w:ascii="Aptos" w:hAnsi="Aptos" w:eastAsia="Aptos"/>
          <w:b w:val="0"/>
          <w:sz w:val="22"/>
        </w:rPr>
        <w:t>Confidentiality is governed by:</w:t>
      </w:r>
    </w:p>
    <w:p>
      <w:pPr>
        <w:pStyle w:val="ListBullet"/>
        <w:spacing w:after="40" w:line="276" w:lineRule="auto"/>
        <w:jc w:val="both"/>
        <w:suppressAutoHyphens w:val="1"/>
      </w:pPr>
      <w:r>
        <w:rPr>
          <w:rFonts w:ascii="Aptos" w:hAnsi="Aptos" w:eastAsia="Aptos"/>
          <w:b w:val="0"/>
          <w:sz w:val="22"/>
        </w:rPr>
        <w:t>applicable agreements;</w:t>
      </w:r>
    </w:p>
    <w:p>
      <w:pPr>
        <w:pStyle w:val="ListBullet"/>
        <w:spacing w:after="40" w:line="276" w:lineRule="auto"/>
        <w:jc w:val="both"/>
        <w:suppressAutoHyphens w:val="1"/>
      </w:pPr>
      <w:r>
        <w:rPr>
          <w:rFonts w:ascii="Aptos" w:hAnsi="Aptos" w:eastAsia="Aptos"/>
          <w:b w:val="0"/>
          <w:sz w:val="22"/>
        </w:rPr>
        <w:t>Trade Base Hub policies;</w:t>
      </w:r>
    </w:p>
    <w:p>
      <w:pPr>
        <w:pStyle w:val="ListBullet"/>
        <w:spacing w:after="40" w:line="276" w:lineRule="auto"/>
        <w:jc w:val="both"/>
        <w:suppressAutoHyphens w:val="1"/>
      </w:pPr>
      <w:r>
        <w:rPr>
          <w:rFonts w:ascii="Aptos" w:hAnsi="Aptos" w:eastAsia="Aptos"/>
          <w:b w:val="0"/>
          <w:sz w:val="22"/>
        </w:rPr>
        <w:t>relevant privacy requirements; and</w:t>
      </w:r>
    </w:p>
    <w:p>
      <w:pPr>
        <w:pStyle w:val="ListBullet"/>
        <w:spacing w:after="40" w:line="276" w:lineRule="auto"/>
        <w:jc w:val="both"/>
        <w:suppressAutoHyphens w:val="1"/>
      </w:pPr>
      <w:r>
        <w:rPr>
          <w:rFonts w:ascii="Aptos" w:hAnsi="Aptos" w:eastAsia="Aptos"/>
          <w:b w:val="0"/>
          <w:sz w:val="22"/>
        </w:rPr>
        <w:t>operational access controls.</w:t>
      </w:r>
    </w:p>
    <w:p>
      <w:pPr>
        <w:keepLines w:val="0"/>
        <w:spacing w:after="120" w:line="276" w:lineRule="auto"/>
        <w:jc w:val="both"/>
        <w:suppressAutoHyphens w:val="1"/>
      </w:pPr>
      <w:r>
        <w:rPr>
          <w:rFonts w:ascii="Aptos" w:hAnsi="Aptos" w:eastAsia="Aptos"/>
          <w:b w:val="0"/>
          <w:sz w:val="22"/>
        </w:rPr>
        <w:t>Where an NCNDA has been executed, the NCNDA governs the contractual confidentiality and non-circumvention obligations between the relevant parties.</w:t>
      </w:r>
    </w:p>
    <w:p>
      <w:pPr>
        <w:keepLines w:val="0"/>
        <w:spacing w:after="120" w:line="276" w:lineRule="auto"/>
        <w:jc w:val="both"/>
        <w:suppressAutoHyphens w:val="1"/>
      </w:pPr>
      <w:r>
        <w:rPr>
          <w:rFonts w:ascii="Aptos" w:hAnsi="Aptos" w:eastAsia="Aptos"/>
          <w:b w:val="0"/>
          <w:sz w:val="22"/>
        </w:rPr>
        <w:t>Trade Base Hub does not guarantee absolute cybersecurity or confidentiality where information is transmitted through third-party platforms.</w:t>
      </w:r>
    </w:p>
    <w:p>
      <w:pPr>
        <w:keepLines w:val="0"/>
        <w:spacing w:after="120" w:line="276" w:lineRule="auto"/>
        <w:jc w:val="both"/>
        <w:suppressAutoHyphens w:val="1"/>
      </w:pPr>
      <w:r>
        <w:rPr>
          <w:rFonts w:ascii="Aptos" w:hAnsi="Aptos" w:eastAsia="Aptos"/>
          <w:b w:val="0"/>
          <w:sz w:val="22"/>
        </w:rPr>
        <w:t>Users should not disclose unnecessary sensitive information through uncontrolled channels.</w:t>
      </w:r>
    </w:p>
    <w:p>
      <w:pPr>
        <w:pStyle w:val="Heading1"/>
        <w:keepNext/>
        <w:spacing w:before="200" w:after="120"/>
        <w:suppressAutoHyphens w:val="1"/>
      </w:pPr>
      <w:r>
        <w:rPr>
          <w:rFonts w:ascii="Aptos" w:hAnsi="Aptos" w:eastAsia="Aptos"/>
          <w:b/>
          <w:color w:val="0F2A41"/>
          <w:sz w:val="32"/>
        </w:rPr>
        <w:t>23. DATA AND PRIVACY</w:t>
      </w:r>
    </w:p>
    <w:p>
      <w:pPr>
        <w:keepLines w:val="0"/>
        <w:spacing w:after="120" w:line="276" w:lineRule="auto"/>
        <w:jc w:val="both"/>
        <w:suppressAutoHyphens w:val="1"/>
      </w:pPr>
      <w:r>
        <w:rPr>
          <w:rFonts w:ascii="Aptos" w:hAnsi="Aptos" w:eastAsia="Aptos"/>
          <w:b w:val="0"/>
          <w:sz w:val="22"/>
        </w:rPr>
        <w:t>Personal information submitted to Trade Base Hub shall be handled in accordance with the Trade Base Hub Privacy Policy and applicable data-protection requirements.</w:t>
      </w:r>
    </w:p>
    <w:p>
      <w:pPr>
        <w:keepLines w:val="0"/>
        <w:spacing w:after="120" w:line="276" w:lineRule="auto"/>
        <w:jc w:val="both"/>
        <w:suppressAutoHyphens w:val="1"/>
      </w:pPr>
      <w:r>
        <w:rPr>
          <w:rFonts w:ascii="Aptos" w:hAnsi="Aptos" w:eastAsia="Aptos"/>
          <w:b w:val="0"/>
          <w:sz w:val="22"/>
        </w:rPr>
        <w:t>Users should provide only information necessary for the relevant service, due-diligence process or transaction.</w:t>
      </w:r>
    </w:p>
    <w:p>
      <w:pPr>
        <w:keepLines w:val="0"/>
        <w:spacing w:after="120" w:line="276" w:lineRule="auto"/>
        <w:jc w:val="both"/>
        <w:suppressAutoHyphens w:val="1"/>
      </w:pPr>
      <w:r>
        <w:rPr>
          <w:rFonts w:ascii="Aptos" w:hAnsi="Aptos" w:eastAsia="Aptos"/>
          <w:b w:val="0"/>
          <w:sz w:val="22"/>
        </w:rPr>
        <w:t>Separate privacy terms may apply to third-party platforms such as Whop and Discord.</w:t>
      </w:r>
    </w:p>
    <w:p>
      <w:pPr>
        <w:pStyle w:val="Heading1"/>
        <w:keepNext/>
        <w:spacing w:before="200" w:after="120"/>
        <w:suppressAutoHyphens w:val="1"/>
      </w:pPr>
      <w:r>
        <w:rPr>
          <w:rFonts w:ascii="Aptos" w:hAnsi="Aptos" w:eastAsia="Aptos"/>
          <w:b/>
          <w:color w:val="0F2A41"/>
          <w:sz w:val="32"/>
        </w:rPr>
        <w:t>24. NO RELIANCE</w:t>
      </w:r>
    </w:p>
    <w:p>
      <w:pPr>
        <w:keepLines w:val="0"/>
        <w:spacing w:after="120" w:line="276" w:lineRule="auto"/>
        <w:jc w:val="both"/>
        <w:suppressAutoHyphens w:val="1"/>
      </w:pPr>
      <w:r>
        <w:rPr>
          <w:rFonts w:ascii="Aptos" w:hAnsi="Aptos" w:eastAsia="Aptos"/>
          <w:b w:val="0"/>
          <w:sz w:val="22"/>
        </w:rPr>
        <w:t>No user should enter into a transaction solely because:</w:t>
      </w:r>
    </w:p>
    <w:p>
      <w:pPr>
        <w:pStyle w:val="ListBullet"/>
        <w:spacing w:after="40" w:line="276" w:lineRule="auto"/>
        <w:jc w:val="both"/>
        <w:suppressAutoHyphens w:val="1"/>
      </w:pPr>
      <w:r>
        <w:rPr>
          <w:rFonts w:ascii="Aptos" w:hAnsi="Aptos" w:eastAsia="Aptos"/>
          <w:b w:val="0"/>
          <w:sz w:val="22"/>
        </w:rPr>
        <w:t>it appears on Trade Base Hub;</w:t>
      </w:r>
    </w:p>
    <w:p>
      <w:pPr>
        <w:pStyle w:val="ListBullet"/>
        <w:spacing w:after="40" w:line="276" w:lineRule="auto"/>
        <w:jc w:val="both"/>
        <w:suppressAutoHyphens w:val="1"/>
      </w:pPr>
      <w:r>
        <w:rPr>
          <w:rFonts w:ascii="Aptos" w:hAnsi="Aptos" w:eastAsia="Aptos"/>
          <w:b w:val="0"/>
          <w:sz w:val="22"/>
        </w:rPr>
        <w:t>another Trade Base Hub member recommends it;</w:t>
      </w:r>
    </w:p>
    <w:p>
      <w:pPr>
        <w:pStyle w:val="ListBullet"/>
        <w:spacing w:after="40" w:line="276" w:lineRule="auto"/>
        <w:jc w:val="both"/>
        <w:suppressAutoHyphens w:val="1"/>
      </w:pPr>
      <w:r>
        <w:rPr>
          <w:rFonts w:ascii="Aptos" w:hAnsi="Aptos" w:eastAsia="Aptos"/>
          <w:b w:val="0"/>
          <w:sz w:val="22"/>
        </w:rPr>
        <w:t>a document has been uploaded;</w:t>
      </w:r>
    </w:p>
    <w:p>
      <w:pPr>
        <w:pStyle w:val="ListBullet"/>
        <w:spacing w:after="40" w:line="276" w:lineRule="auto"/>
        <w:jc w:val="both"/>
        <w:suppressAutoHyphens w:val="1"/>
      </w:pPr>
      <w:r>
        <w:rPr>
          <w:rFonts w:ascii="Aptos" w:hAnsi="Aptos" w:eastAsia="Aptos"/>
          <w:b w:val="0"/>
          <w:sz w:val="22"/>
        </w:rPr>
        <w:t>a counterparty has completed CIS/KYC;</w:t>
      </w:r>
    </w:p>
    <w:p>
      <w:pPr>
        <w:pStyle w:val="ListBullet"/>
        <w:spacing w:after="40" w:line="276" w:lineRule="auto"/>
        <w:jc w:val="both"/>
        <w:suppressAutoHyphens w:val="1"/>
      </w:pPr>
      <w:r>
        <w:rPr>
          <w:rFonts w:ascii="Aptos" w:hAnsi="Aptos" w:eastAsia="Aptos"/>
          <w:b w:val="0"/>
          <w:sz w:val="22"/>
        </w:rPr>
        <w:t>an intermediary has provided an introduction;</w:t>
      </w:r>
    </w:p>
    <w:p>
      <w:pPr>
        <w:pStyle w:val="ListBullet"/>
        <w:spacing w:after="40" w:line="276" w:lineRule="auto"/>
        <w:jc w:val="both"/>
        <w:suppressAutoHyphens w:val="1"/>
      </w:pPr>
      <w:r>
        <w:rPr>
          <w:rFonts w:ascii="Aptos" w:hAnsi="Aptos" w:eastAsia="Aptos"/>
          <w:b w:val="0"/>
          <w:sz w:val="22"/>
        </w:rPr>
        <w:t>a Deal Room has been established; or</w:t>
      </w:r>
    </w:p>
    <w:p>
      <w:pPr>
        <w:pStyle w:val="ListBullet"/>
        <w:spacing w:after="40" w:line="276" w:lineRule="auto"/>
        <w:jc w:val="both"/>
        <w:suppressAutoHyphens w:val="1"/>
      </w:pPr>
      <w:r>
        <w:rPr>
          <w:rFonts w:ascii="Aptos" w:hAnsi="Aptos" w:eastAsia="Aptos"/>
          <w:b w:val="0"/>
          <w:sz w:val="22"/>
        </w:rPr>
        <w:t>Trade Base Hub has assisted the transaction.</w:t>
      </w:r>
    </w:p>
    <w:p>
      <w:pPr>
        <w:keepLines w:val="0"/>
        <w:spacing w:after="120" w:line="276" w:lineRule="auto"/>
        <w:jc w:val="both"/>
        <w:suppressAutoHyphens w:val="1"/>
      </w:pPr>
      <w:r>
        <w:rPr>
          <w:rFonts w:ascii="Aptos" w:hAnsi="Aptos" w:eastAsia="Aptos"/>
          <w:b w:val="0"/>
          <w:sz w:val="22"/>
        </w:rPr>
        <w:t>Each party must conduct the level of independent due diligence appropriate to the commercial exposure involved.</w:t>
      </w:r>
    </w:p>
    <w:p>
      <w:pPr>
        <w:pStyle w:val="Heading1"/>
        <w:keepNext/>
        <w:spacing w:before="200" w:after="120"/>
        <w:suppressAutoHyphens w:val="1"/>
      </w:pPr>
      <w:r>
        <w:rPr>
          <w:rFonts w:ascii="Aptos" w:hAnsi="Aptos" w:eastAsia="Aptos"/>
          <w:b/>
          <w:color w:val="0F2A41"/>
          <w:sz w:val="32"/>
        </w:rPr>
        <w:t>25. LIMITATION OF RESPONSIBILITY</w:t>
      </w:r>
    </w:p>
    <w:p>
      <w:pPr>
        <w:keepLines w:val="0"/>
        <w:spacing w:after="120" w:line="276" w:lineRule="auto"/>
        <w:jc w:val="both"/>
        <w:suppressAutoHyphens w:val="1"/>
      </w:pPr>
      <w:r>
        <w:rPr>
          <w:rFonts w:ascii="Aptos" w:hAnsi="Aptos" w:eastAsia="Aptos"/>
          <w:b w:val="0"/>
          <w:sz w:val="22"/>
        </w:rPr>
        <w:t>To the maximum extent permitted by applicable law, Trade Base Hub shall not be responsible for losses arising solely from:</w:t>
      </w:r>
    </w:p>
    <w:p>
      <w:pPr>
        <w:pStyle w:val="ListBullet"/>
        <w:spacing w:after="40" w:line="276" w:lineRule="auto"/>
        <w:jc w:val="both"/>
        <w:suppressAutoHyphens w:val="1"/>
      </w:pPr>
      <w:r>
        <w:rPr>
          <w:rFonts w:ascii="Aptos" w:hAnsi="Aptos" w:eastAsia="Aptos"/>
          <w:b w:val="0"/>
          <w:sz w:val="22"/>
        </w:rPr>
        <w:t>counterparty default;</w:t>
      </w:r>
    </w:p>
    <w:p>
      <w:pPr>
        <w:pStyle w:val="ListBullet"/>
        <w:spacing w:after="40" w:line="276" w:lineRule="auto"/>
        <w:jc w:val="both"/>
        <w:suppressAutoHyphens w:val="1"/>
      </w:pPr>
      <w:r>
        <w:rPr>
          <w:rFonts w:ascii="Aptos" w:hAnsi="Aptos" w:eastAsia="Aptos"/>
          <w:b w:val="0"/>
          <w:sz w:val="22"/>
        </w:rPr>
        <w:t>failed negotiations;</w:t>
      </w:r>
    </w:p>
    <w:p>
      <w:pPr>
        <w:pStyle w:val="ListBullet"/>
        <w:spacing w:after="40" w:line="276" w:lineRule="auto"/>
        <w:jc w:val="both"/>
        <w:suppressAutoHyphens w:val="1"/>
      </w:pPr>
      <w:r>
        <w:rPr>
          <w:rFonts w:ascii="Aptos" w:hAnsi="Aptos" w:eastAsia="Aptos"/>
          <w:b w:val="0"/>
          <w:sz w:val="22"/>
        </w:rPr>
        <w:t>transaction non-completion;</w:t>
      </w:r>
    </w:p>
    <w:p>
      <w:pPr>
        <w:pStyle w:val="ListBullet"/>
        <w:spacing w:after="40" w:line="276" w:lineRule="auto"/>
        <w:jc w:val="both"/>
        <w:suppressAutoHyphens w:val="1"/>
      </w:pPr>
      <w:r>
        <w:rPr>
          <w:rFonts w:ascii="Aptos" w:hAnsi="Aptos" w:eastAsia="Aptos"/>
          <w:b w:val="0"/>
          <w:sz w:val="22"/>
        </w:rPr>
        <w:t>inaccurate third-party information;</w:t>
      </w:r>
    </w:p>
    <w:p>
      <w:pPr>
        <w:pStyle w:val="ListBullet"/>
        <w:spacing w:after="40" w:line="276" w:lineRule="auto"/>
        <w:jc w:val="both"/>
        <w:suppressAutoHyphens w:val="1"/>
      </w:pPr>
      <w:r>
        <w:rPr>
          <w:rFonts w:ascii="Aptos" w:hAnsi="Aptos" w:eastAsia="Aptos"/>
          <w:b w:val="0"/>
          <w:sz w:val="22"/>
        </w:rPr>
        <w:t>fraudulent third-party documents;</w:t>
      </w:r>
    </w:p>
    <w:p>
      <w:pPr>
        <w:pStyle w:val="ListBullet"/>
        <w:spacing w:after="40" w:line="276" w:lineRule="auto"/>
        <w:jc w:val="both"/>
        <w:suppressAutoHyphens w:val="1"/>
      </w:pPr>
      <w:r>
        <w:rPr>
          <w:rFonts w:ascii="Aptos" w:hAnsi="Aptos" w:eastAsia="Aptos"/>
          <w:b w:val="0"/>
          <w:sz w:val="22"/>
        </w:rPr>
        <w:t>market movements;</w:t>
      </w:r>
    </w:p>
    <w:p>
      <w:pPr>
        <w:pStyle w:val="ListBullet"/>
        <w:spacing w:after="40" w:line="276" w:lineRule="auto"/>
        <w:jc w:val="both"/>
        <w:suppressAutoHyphens w:val="1"/>
      </w:pPr>
      <w:r>
        <w:rPr>
          <w:rFonts w:ascii="Aptos" w:hAnsi="Aptos" w:eastAsia="Aptos"/>
          <w:b w:val="0"/>
          <w:sz w:val="22"/>
        </w:rPr>
        <w:t>regulatory changes;</w:t>
      </w:r>
    </w:p>
    <w:p>
      <w:pPr>
        <w:pStyle w:val="ListBullet"/>
        <w:spacing w:after="40" w:line="276" w:lineRule="auto"/>
        <w:jc w:val="both"/>
        <w:suppressAutoHyphens w:val="1"/>
      </w:pPr>
      <w:r>
        <w:rPr>
          <w:rFonts w:ascii="Aptos" w:hAnsi="Aptos" w:eastAsia="Aptos"/>
          <w:b w:val="0"/>
          <w:sz w:val="22"/>
        </w:rPr>
        <w:t>banking decisions;</w:t>
      </w:r>
    </w:p>
    <w:p>
      <w:pPr>
        <w:pStyle w:val="ListBullet"/>
        <w:spacing w:after="40" w:line="276" w:lineRule="auto"/>
        <w:jc w:val="both"/>
        <w:suppressAutoHyphens w:val="1"/>
      </w:pPr>
      <w:r>
        <w:rPr>
          <w:rFonts w:ascii="Aptos" w:hAnsi="Aptos" w:eastAsia="Aptos"/>
          <w:b w:val="0"/>
          <w:sz w:val="22"/>
        </w:rPr>
        <w:t>rejected payments;</w:t>
      </w:r>
    </w:p>
    <w:p>
      <w:pPr>
        <w:pStyle w:val="ListBullet"/>
        <w:spacing w:after="40" w:line="276" w:lineRule="auto"/>
        <w:jc w:val="both"/>
        <w:suppressAutoHyphens w:val="1"/>
      </w:pPr>
      <w:r>
        <w:rPr>
          <w:rFonts w:ascii="Aptos" w:hAnsi="Aptos" w:eastAsia="Aptos"/>
          <w:b w:val="0"/>
          <w:sz w:val="22"/>
        </w:rPr>
        <w:t>failed financing;</w:t>
      </w:r>
    </w:p>
    <w:p>
      <w:pPr>
        <w:pStyle w:val="ListBullet"/>
        <w:spacing w:after="40" w:line="276" w:lineRule="auto"/>
        <w:jc w:val="both"/>
        <w:suppressAutoHyphens w:val="1"/>
      </w:pPr>
      <w:r>
        <w:rPr>
          <w:rFonts w:ascii="Aptos" w:hAnsi="Aptos" w:eastAsia="Aptos"/>
          <w:b w:val="0"/>
          <w:sz w:val="22"/>
        </w:rPr>
        <w:t>non-performance by a buyer or seller;</w:t>
      </w:r>
    </w:p>
    <w:p>
      <w:pPr>
        <w:pStyle w:val="ListBullet"/>
        <w:spacing w:after="40" w:line="276" w:lineRule="auto"/>
        <w:jc w:val="both"/>
        <w:suppressAutoHyphens w:val="1"/>
      </w:pPr>
      <w:r>
        <w:rPr>
          <w:rFonts w:ascii="Aptos" w:hAnsi="Aptos" w:eastAsia="Aptos"/>
          <w:b w:val="0"/>
          <w:sz w:val="22"/>
        </w:rPr>
        <w:t>intermediary conduct;</w:t>
      </w:r>
    </w:p>
    <w:p>
      <w:pPr>
        <w:pStyle w:val="ListBullet"/>
        <w:spacing w:after="40" w:line="276" w:lineRule="auto"/>
        <w:jc w:val="both"/>
        <w:suppressAutoHyphens w:val="1"/>
      </w:pPr>
      <w:r>
        <w:rPr>
          <w:rFonts w:ascii="Aptos" w:hAnsi="Aptos" w:eastAsia="Aptos"/>
          <w:b w:val="0"/>
          <w:sz w:val="22"/>
        </w:rPr>
        <w:t>third-party platform outages; or</w:t>
      </w:r>
    </w:p>
    <w:p>
      <w:pPr>
        <w:pStyle w:val="ListBullet"/>
        <w:spacing w:after="40" w:line="276" w:lineRule="auto"/>
        <w:jc w:val="both"/>
        <w:suppressAutoHyphens w:val="1"/>
      </w:pPr>
      <w:r>
        <w:rPr>
          <w:rFonts w:ascii="Aptos" w:hAnsi="Aptos" w:eastAsia="Aptos"/>
          <w:b w:val="0"/>
          <w:sz w:val="22"/>
        </w:rPr>
        <w:t>decisions independently taken by transaction participants.</w:t>
      </w:r>
    </w:p>
    <w:p>
      <w:pPr>
        <w:keepLines w:val="0"/>
        <w:spacing w:after="120" w:line="276" w:lineRule="auto"/>
        <w:jc w:val="both"/>
        <w:suppressAutoHyphens w:val="1"/>
      </w:pPr>
      <w:r>
        <w:rPr>
          <w:rFonts w:ascii="Aptos" w:hAnsi="Aptos" w:eastAsia="Aptos"/>
          <w:b w:val="0"/>
          <w:sz w:val="22"/>
        </w:rPr>
        <w:t>Nothing in this Policy excludes liability that cannot lawfully be excluded.</w:t>
      </w:r>
    </w:p>
    <w:p>
      <w:pPr>
        <w:pStyle w:val="Heading1"/>
        <w:keepNext/>
        <w:spacing w:before="200" w:after="120"/>
        <w:suppressAutoHyphens w:val="1"/>
      </w:pPr>
      <w:r>
        <w:rPr>
          <w:rFonts w:ascii="Aptos" w:hAnsi="Aptos" w:eastAsia="Aptos"/>
          <w:b/>
          <w:color w:val="0F2A41"/>
          <w:sz w:val="32"/>
        </w:rPr>
        <w:t>26. NO WAIVER OF STATUTORY RIGHTS</w:t>
      </w:r>
    </w:p>
    <w:p>
      <w:pPr>
        <w:keepLines w:val="0"/>
        <w:spacing w:after="120" w:line="276" w:lineRule="auto"/>
        <w:jc w:val="both"/>
        <w:suppressAutoHyphens w:val="1"/>
      </w:pPr>
      <w:r>
        <w:rPr>
          <w:rFonts w:ascii="Aptos" w:hAnsi="Aptos" w:eastAsia="Aptos"/>
          <w:b w:val="0"/>
          <w:sz w:val="22"/>
        </w:rPr>
        <w:t>Nothing in this Policy is intended to remove, restrict or override any mandatory consumer, statutory or other legal right that cannot lawfully be excluded or limited.</w:t>
      </w:r>
    </w:p>
    <w:p>
      <w:pPr>
        <w:keepLines w:val="0"/>
        <w:spacing w:after="120" w:line="276" w:lineRule="auto"/>
        <w:jc w:val="both"/>
        <w:suppressAutoHyphens w:val="1"/>
      </w:pPr>
      <w:r>
        <w:rPr>
          <w:rFonts w:ascii="Aptos" w:hAnsi="Aptos" w:eastAsia="Aptos"/>
          <w:b w:val="0"/>
          <w:sz w:val="22"/>
        </w:rPr>
        <w:t>Where mandatory law conflicts with this Policy, the mandatory law shall prevail to the extent of the conflict.</w:t>
      </w:r>
    </w:p>
    <w:p>
      <w:pPr>
        <w:pStyle w:val="Heading1"/>
        <w:keepNext/>
        <w:spacing w:before="200" w:after="120"/>
        <w:suppressAutoHyphens w:val="1"/>
      </w:pPr>
      <w:r>
        <w:rPr>
          <w:rFonts w:ascii="Aptos" w:hAnsi="Aptos" w:eastAsia="Aptos"/>
          <w:b/>
          <w:color w:val="0F2A41"/>
          <w:sz w:val="32"/>
        </w:rPr>
        <w:t>27. RIGHT TO DECLINE OR TERMINATE SERVICE</w:t>
      </w:r>
    </w:p>
    <w:p>
      <w:pPr>
        <w:keepLines w:val="0"/>
        <w:spacing w:after="120" w:line="276" w:lineRule="auto"/>
        <w:jc w:val="both"/>
        <w:suppressAutoHyphens w:val="1"/>
      </w:pPr>
      <w:r>
        <w:rPr>
          <w:rFonts w:ascii="Aptos" w:hAnsi="Aptos" w:eastAsia="Aptos"/>
          <w:b w:val="0"/>
          <w:sz w:val="22"/>
        </w:rPr>
        <w:t>Trade Base Hub reserves the right, subject to applicable law and contractual obligations, to decline, suspend or terminate services where:</w:t>
      </w:r>
    </w:p>
    <w:p>
      <w:pPr>
        <w:pStyle w:val="ListBullet"/>
        <w:spacing w:after="40" w:line="276" w:lineRule="auto"/>
        <w:jc w:val="both"/>
        <w:suppressAutoHyphens w:val="1"/>
      </w:pPr>
      <w:r>
        <w:rPr>
          <w:rFonts w:ascii="Aptos" w:hAnsi="Aptos" w:eastAsia="Aptos"/>
          <w:b w:val="0"/>
          <w:sz w:val="22"/>
        </w:rPr>
        <w:t>required information is not supplied;</w:t>
      </w:r>
    </w:p>
    <w:p>
      <w:pPr>
        <w:pStyle w:val="ListBullet"/>
        <w:spacing w:after="40" w:line="276" w:lineRule="auto"/>
        <w:jc w:val="both"/>
        <w:suppressAutoHyphens w:val="1"/>
      </w:pPr>
      <w:r>
        <w:rPr>
          <w:rFonts w:ascii="Aptos" w:hAnsi="Aptos" w:eastAsia="Aptos"/>
          <w:b w:val="0"/>
          <w:sz w:val="22"/>
        </w:rPr>
        <w:t>information cannot reasonably be verified;</w:t>
      </w:r>
    </w:p>
    <w:p>
      <w:pPr>
        <w:pStyle w:val="ListBullet"/>
        <w:spacing w:after="40" w:line="276" w:lineRule="auto"/>
        <w:jc w:val="both"/>
        <w:suppressAutoHyphens w:val="1"/>
      </w:pPr>
      <w:r>
        <w:rPr>
          <w:rFonts w:ascii="Aptos" w:hAnsi="Aptos" w:eastAsia="Aptos"/>
          <w:b w:val="0"/>
          <w:sz w:val="22"/>
        </w:rPr>
        <w:t>payment requirements are not satisfied;</w:t>
      </w:r>
    </w:p>
    <w:p>
      <w:pPr>
        <w:pStyle w:val="ListBullet"/>
        <w:spacing w:after="40" w:line="276" w:lineRule="auto"/>
        <w:jc w:val="both"/>
        <w:suppressAutoHyphens w:val="1"/>
      </w:pPr>
      <w:r>
        <w:rPr>
          <w:rFonts w:ascii="Aptos" w:hAnsi="Aptos" w:eastAsia="Aptos"/>
          <w:b w:val="0"/>
          <w:sz w:val="22"/>
        </w:rPr>
        <w:t>the requested service falls outside Trade Base Hub's scope;</w:t>
      </w:r>
    </w:p>
    <w:p>
      <w:pPr>
        <w:pStyle w:val="ListBullet"/>
        <w:spacing w:after="40" w:line="276" w:lineRule="auto"/>
        <w:jc w:val="both"/>
        <w:suppressAutoHyphens w:val="1"/>
      </w:pPr>
      <w:r>
        <w:rPr>
          <w:rFonts w:ascii="Aptos" w:hAnsi="Aptos" w:eastAsia="Aptos"/>
          <w:b w:val="0"/>
          <w:sz w:val="22"/>
        </w:rPr>
        <w:t>regulatory concerns exist;</w:t>
      </w:r>
    </w:p>
    <w:p>
      <w:pPr>
        <w:pStyle w:val="ListBullet"/>
        <w:spacing w:after="40" w:line="276" w:lineRule="auto"/>
        <w:jc w:val="both"/>
        <w:suppressAutoHyphens w:val="1"/>
      </w:pPr>
      <w:r>
        <w:rPr>
          <w:rFonts w:ascii="Aptos" w:hAnsi="Aptos" w:eastAsia="Aptos"/>
          <w:b w:val="0"/>
          <w:sz w:val="22"/>
        </w:rPr>
        <w:t>the activity creates unacceptable legal or reputational risk;</w:t>
      </w:r>
    </w:p>
    <w:p>
      <w:pPr>
        <w:pStyle w:val="ListBullet"/>
        <w:spacing w:after="40" w:line="276" w:lineRule="auto"/>
        <w:jc w:val="both"/>
        <w:suppressAutoHyphens w:val="1"/>
      </w:pPr>
      <w:r>
        <w:rPr>
          <w:rFonts w:ascii="Aptos" w:hAnsi="Aptos" w:eastAsia="Aptos"/>
          <w:b w:val="0"/>
          <w:sz w:val="22"/>
        </w:rPr>
        <w:t>fraud or misconduct is suspected; or</w:t>
      </w:r>
    </w:p>
    <w:p>
      <w:pPr>
        <w:pStyle w:val="ListBullet"/>
        <w:spacing w:after="40" w:line="276" w:lineRule="auto"/>
        <w:jc w:val="both"/>
        <w:suppressAutoHyphens w:val="1"/>
      </w:pPr>
      <w:r>
        <w:rPr>
          <w:rFonts w:ascii="Aptos" w:hAnsi="Aptos" w:eastAsia="Aptos"/>
          <w:b w:val="0"/>
          <w:sz w:val="22"/>
        </w:rPr>
        <w:t>continued participation may expose Trade Base Hub or other users to unreasonable risk.</w:t>
      </w:r>
    </w:p>
    <w:p>
      <w:pPr>
        <w:pStyle w:val="Heading1"/>
        <w:keepNext/>
        <w:spacing w:before="200" w:after="120"/>
        <w:suppressAutoHyphens w:val="1"/>
      </w:pPr>
      <w:r>
        <w:rPr>
          <w:rFonts w:ascii="Aptos" w:hAnsi="Aptos" w:eastAsia="Aptos"/>
          <w:b/>
          <w:color w:val="0F2A41"/>
          <w:sz w:val="32"/>
        </w:rPr>
        <w:t>28. UPDATES</w:t>
      </w:r>
    </w:p>
    <w:p>
      <w:pPr>
        <w:keepLines w:val="0"/>
        <w:spacing w:after="120" w:line="276" w:lineRule="auto"/>
        <w:jc w:val="both"/>
        <w:suppressAutoHyphens w:val="1"/>
      </w:pPr>
      <w:r>
        <w:rPr>
          <w:rFonts w:ascii="Aptos" w:hAnsi="Aptos" w:eastAsia="Aptos"/>
          <w:b w:val="0"/>
          <w:sz w:val="22"/>
        </w:rPr>
        <w:t>Trade Base Hub may amend this Policy periodically to reflect:</w:t>
      </w:r>
    </w:p>
    <w:p>
      <w:pPr>
        <w:pStyle w:val="ListBullet"/>
        <w:spacing w:after="40" w:line="276" w:lineRule="auto"/>
        <w:jc w:val="both"/>
        <w:suppressAutoHyphens w:val="1"/>
      </w:pPr>
      <w:r>
        <w:rPr>
          <w:rFonts w:ascii="Aptos" w:hAnsi="Aptos" w:eastAsia="Aptos"/>
          <w:b w:val="0"/>
          <w:sz w:val="22"/>
        </w:rPr>
        <w:t>changes to services;</w:t>
      </w:r>
    </w:p>
    <w:p>
      <w:pPr>
        <w:pStyle w:val="ListBullet"/>
        <w:spacing w:after="40" w:line="276" w:lineRule="auto"/>
        <w:jc w:val="both"/>
        <w:suppressAutoHyphens w:val="1"/>
      </w:pPr>
      <w:r>
        <w:rPr>
          <w:rFonts w:ascii="Aptos" w:hAnsi="Aptos" w:eastAsia="Aptos"/>
          <w:b w:val="0"/>
          <w:sz w:val="22"/>
        </w:rPr>
        <w:t>regulatory developments;</w:t>
      </w:r>
    </w:p>
    <w:p>
      <w:pPr>
        <w:pStyle w:val="ListBullet"/>
        <w:spacing w:after="40" w:line="276" w:lineRule="auto"/>
        <w:jc w:val="both"/>
        <w:suppressAutoHyphens w:val="1"/>
      </w:pPr>
      <w:r>
        <w:rPr>
          <w:rFonts w:ascii="Aptos" w:hAnsi="Aptos" w:eastAsia="Aptos"/>
          <w:b w:val="0"/>
          <w:sz w:val="22"/>
        </w:rPr>
        <w:t>platform changes;</w:t>
      </w:r>
    </w:p>
    <w:p>
      <w:pPr>
        <w:pStyle w:val="ListBullet"/>
        <w:spacing w:after="40" w:line="276" w:lineRule="auto"/>
        <w:jc w:val="both"/>
        <w:suppressAutoHyphens w:val="1"/>
      </w:pPr>
      <w:r>
        <w:rPr>
          <w:rFonts w:ascii="Aptos" w:hAnsi="Aptos" w:eastAsia="Aptos"/>
          <w:b w:val="0"/>
          <w:sz w:val="22"/>
        </w:rPr>
        <w:t>new products;</w:t>
      </w:r>
    </w:p>
    <w:p>
      <w:pPr>
        <w:pStyle w:val="ListBullet"/>
        <w:spacing w:after="40" w:line="276" w:lineRule="auto"/>
        <w:jc w:val="both"/>
        <w:suppressAutoHyphens w:val="1"/>
      </w:pPr>
      <w:r>
        <w:rPr>
          <w:rFonts w:ascii="Aptos" w:hAnsi="Aptos" w:eastAsia="Aptos"/>
          <w:b w:val="0"/>
          <w:sz w:val="22"/>
        </w:rPr>
        <w:t>risk-management requirements; or</w:t>
      </w:r>
    </w:p>
    <w:p>
      <w:pPr>
        <w:pStyle w:val="ListBullet"/>
        <w:spacing w:after="40" w:line="276" w:lineRule="auto"/>
        <w:jc w:val="both"/>
        <w:suppressAutoHyphens w:val="1"/>
      </w:pPr>
      <w:r>
        <w:rPr>
          <w:rFonts w:ascii="Aptos" w:hAnsi="Aptos" w:eastAsia="Aptos"/>
          <w:b w:val="0"/>
          <w:sz w:val="22"/>
        </w:rPr>
        <w:t>operational experience.</w:t>
      </w:r>
    </w:p>
    <w:p>
      <w:pPr>
        <w:keepLines w:val="0"/>
        <w:spacing w:after="120" w:line="276" w:lineRule="auto"/>
        <w:jc w:val="both"/>
        <w:suppressAutoHyphens w:val="1"/>
      </w:pPr>
      <w:r>
        <w:rPr>
          <w:rFonts w:ascii="Aptos" w:hAnsi="Aptos" w:eastAsia="Aptos"/>
          <w:b w:val="0"/>
          <w:sz w:val="22"/>
        </w:rPr>
        <w:t>The current version should be maintained on tradebasehub.net.</w:t>
      </w:r>
    </w:p>
    <w:p>
      <w:pPr>
        <w:pStyle w:val="Heading1"/>
        <w:keepNext/>
        <w:spacing w:before="200" w:after="120"/>
        <w:suppressAutoHyphens w:val="1"/>
      </w:pPr>
      <w:r>
        <w:rPr>
          <w:rFonts w:ascii="Aptos" w:hAnsi="Aptos" w:eastAsia="Aptos"/>
          <w:b/>
          <w:color w:val="0F2A41"/>
          <w:sz w:val="32"/>
        </w:rPr>
        <w:t>29. ACCEPTANCE</w:t>
      </w:r>
    </w:p>
    <w:p>
      <w:pPr>
        <w:keepLines w:val="0"/>
        <w:spacing w:after="120" w:line="276" w:lineRule="auto"/>
        <w:jc w:val="both"/>
        <w:suppressAutoHyphens w:val="1"/>
      </w:pPr>
      <w:r>
        <w:rPr>
          <w:rFonts w:ascii="Aptos" w:hAnsi="Aptos" w:eastAsia="Aptos"/>
          <w:b w:val="0"/>
          <w:sz w:val="22"/>
        </w:rPr>
        <w:t>By purchasing, accessing or using a Trade Base Hub product, service or controlled platform environment, the user acknowledges that they have been given access to this Policy and understand the limitations described herein.</w:t>
      </w:r>
    </w:p>
    <w:p>
      <w:pPr>
        <w:keepLines w:val="0"/>
        <w:spacing w:after="120" w:line="276" w:lineRule="auto"/>
        <w:jc w:val="both"/>
        <w:suppressAutoHyphens w:val="1"/>
      </w:pPr>
      <w:r>
        <w:rPr>
          <w:rFonts w:ascii="Aptos" w:hAnsi="Aptos" w:eastAsia="Aptos"/>
          <w:b w:val="0"/>
          <w:sz w:val="22"/>
        </w:rPr>
        <w:t>Where explicit contractual acceptance is required, acceptance shall be recorded through the applicable agreement, checkout, onboarding process or electronic acknowledgement.</w:t>
      </w:r>
    </w:p>
    <w:p>
      <w:pPr>
        <w:pStyle w:val="Heading1"/>
        <w:keepNext/>
        <w:spacing w:before="200" w:after="120"/>
        <w:suppressAutoHyphens w:val="1"/>
      </w:pPr>
      <w:r>
        <w:rPr>
          <w:rFonts w:ascii="Aptos" w:hAnsi="Aptos" w:eastAsia="Aptos"/>
          <w:b/>
          <w:color w:val="0F2A41"/>
          <w:sz w:val="32"/>
        </w:rPr>
        <w:t>30. SHORT-FORM PLATFORM DISCLAIMER</w:t>
      </w:r>
    </w:p>
    <w:p>
      <w:pPr>
        <w:keepLines w:val="0"/>
        <w:spacing w:after="120" w:line="276" w:lineRule="auto"/>
        <w:ind w:left="360" w:right="360"/>
        <w:jc w:val="both"/>
        <w:suppressAutoHyphens w:val="1"/>
      </w:pPr>
      <w:r>
        <w:rPr>
          <w:rFonts w:ascii="Aptos" w:hAnsi="Aptos" w:eastAsia="Aptos"/>
          <w:b w:val="0"/>
          <w:sz w:val="22"/>
        </w:rPr>
        <w:t>Trade Base Hub provides commercial transaction support, transaction coordination, document preparation, due-diligence support and a transaction completion environment. Trade Base Hub is not a bank, financial institution, investment adviser, law firm, escrow provider or transaction principal unless expressly agreed otherwise in writing. Trade Base Hub does not guarantee funding, document authenticity, counterparty performance, transaction completion or financial outcomes. Information and documentation provided through the platform should be independently verified where material, and users remain responsible for obtaining appropriate legal, financial, tax and regulatory advice.</w:t>
      </w:r>
    </w:p>
    <w:p>
      <w:pPr>
        <w:pStyle w:val="Heading1"/>
        <w:keepNext/>
        <w:spacing w:before="200" w:after="120"/>
        <w:suppressAutoHyphens w:val="1"/>
      </w:pPr>
      <w:r>
        <w:rPr>
          <w:rFonts w:ascii="Aptos" w:hAnsi="Aptos" w:eastAsia="Aptos"/>
          <w:b/>
          <w:color w:val="0F2A41"/>
          <w:sz w:val="32"/>
        </w:rPr>
        <w:t>31. WEBSITE FOOTER DISCLAIMER</w:t>
      </w:r>
    </w:p>
    <w:p>
      <w:pPr>
        <w:keepLines w:val="0"/>
        <w:spacing w:after="120" w:line="276" w:lineRule="auto"/>
        <w:ind w:left="360" w:right="360"/>
        <w:jc w:val="both"/>
        <w:suppressAutoHyphens w:val="1"/>
      </w:pPr>
      <w:r>
        <w:rPr>
          <w:rFonts w:ascii="Aptos" w:hAnsi="Aptos" w:eastAsia="Aptos"/>
          <w:b w:val="0"/>
          <w:sz w:val="22"/>
        </w:rPr>
        <w:t>Trade Base Hub provides commercial transaction-support and documentation services. It does not provide banking, regulated investment or legal representation services and does not guarantee transaction completion or counterparty performance. See Regulatory &amp; Service Disclaimer.</w:t>
      </w:r>
    </w:p>
    <w:p>
      <w:pPr>
        <w:pStyle w:val="Heading1"/>
        <w:keepNext/>
        <w:spacing w:before="200" w:after="120"/>
        <w:suppressAutoHyphens w:val="1"/>
      </w:pPr>
      <w:r>
        <w:rPr>
          <w:rFonts w:ascii="Aptos" w:hAnsi="Aptos" w:eastAsia="Aptos"/>
          <w:b/>
          <w:color w:val="0F2A41"/>
          <w:sz w:val="32"/>
        </w:rPr>
        <w:t>32. WHOP CHECKOUT / PRODUCT DISCLAIMER</w:t>
      </w:r>
    </w:p>
    <w:p>
      <w:pPr>
        <w:keepLines w:val="0"/>
        <w:spacing w:after="120" w:line="276" w:lineRule="auto"/>
        <w:ind w:left="360" w:right="360"/>
        <w:jc w:val="both"/>
        <w:suppressAutoHyphens w:val="1"/>
      </w:pPr>
      <w:r>
        <w:rPr>
          <w:rFonts w:ascii="Aptos" w:hAnsi="Aptos" w:eastAsia="Aptos"/>
          <w:b w:val="0"/>
          <w:sz w:val="22"/>
        </w:rPr>
        <w:t>By purchasing this service, you acknowledge that Trade Base Hub provides commercial support and documentation services only. Purchase does not constitute transaction approval, financing approval, legal representation or a guarantee of commercial outcome. Additional information, KYC or supporting documentation may be required before services can be completed.</w:t>
      </w:r>
    </w:p>
    <w:p>
      <w:pPr>
        <w:pStyle w:val="Heading1"/>
        <w:keepNext/>
        <w:spacing w:before="200" w:after="120"/>
        <w:suppressAutoHyphens w:val="1"/>
      </w:pPr>
      <w:r>
        <w:rPr>
          <w:rFonts w:ascii="Aptos" w:hAnsi="Aptos" w:eastAsia="Aptos"/>
          <w:b/>
          <w:color w:val="0F2A41"/>
          <w:sz w:val="32"/>
        </w:rPr>
        <w:t>33. DISCORD ONBOARDING DISCLAIMER</w:t>
      </w:r>
    </w:p>
    <w:p>
      <w:pPr>
        <w:keepLines w:val="0"/>
        <w:spacing w:after="120" w:line="276" w:lineRule="auto"/>
        <w:ind w:left="360" w:right="360"/>
        <w:jc w:val="both"/>
        <w:suppressAutoHyphens w:val="1"/>
      </w:pPr>
      <w:r>
        <w:rPr>
          <w:rFonts w:ascii="Aptos" w:hAnsi="Aptos" w:eastAsia="Aptos"/>
          <w:b w:val="0"/>
          <w:sz w:val="22"/>
        </w:rPr>
        <w:t>Trade Base Hub Discord access provides entry to a controlled commercial support environment. Membership, roles, verification or Deal Room access do not constitute endorsement of a transaction or counterparty and do not guarantee successful completion. Users remain responsible for their own commercial decisions and due diligence.</w:t>
      </w:r>
    </w:p>
    <w:p>
      <w:pPr>
        <w:pStyle w:val="Heading1"/>
        <w:keepNext/>
        <w:spacing w:before="200" w:after="120"/>
        <w:suppressAutoHyphens w:val="1"/>
      </w:pPr>
      <w:r>
        <w:rPr>
          <w:rFonts w:ascii="Aptos" w:hAnsi="Aptos" w:eastAsia="Aptos"/>
          <w:b/>
          <w:color w:val="0F2A41"/>
          <w:sz w:val="32"/>
        </w:rPr>
        <w:t>34. DOCUMENT FOOTER DISCLAIMER</w:t>
      </w:r>
    </w:p>
    <w:p>
      <w:pPr>
        <w:keepLines w:val="0"/>
        <w:spacing w:after="120" w:line="276" w:lineRule="auto"/>
        <w:ind w:left="360" w:right="360"/>
        <w:jc w:val="both"/>
        <w:suppressAutoHyphens w:val="1"/>
      </w:pPr>
      <w:r>
        <w:rPr>
          <w:rFonts w:ascii="Aptos" w:hAnsi="Aptos" w:eastAsia="Aptos"/>
          <w:b w:val="0"/>
          <w:sz w:val="22"/>
        </w:rPr>
        <w:t>Prepared through Trade Base Hub as a commercial transaction-support document. Users remain responsible for confirming that the document reflects their transaction and for obtaining independent professional advice where required. Trade Base Hub does not guarantee transaction completion, counterparty performance or regulatory suitability.</w:t>
      </w:r>
    </w:p>
    <w:p>
      <w:pPr>
        <w:pStyle w:val="Heading1"/>
        <w:keepNext/>
        <w:spacing w:before="200" w:after="120"/>
        <w:suppressAutoHyphens w:val="1"/>
      </w:pPr>
      <w:r>
        <w:rPr>
          <w:rFonts w:ascii="Aptos" w:hAnsi="Aptos" w:eastAsia="Aptos"/>
          <w:b/>
          <w:color w:val="0F2A41"/>
          <w:sz w:val="32"/>
        </w:rPr>
        <w:t>35. POF / VERIFICATION DISCLAIMER</w:t>
      </w:r>
    </w:p>
    <w:p>
      <w:pPr>
        <w:keepLines w:val="0"/>
        <w:spacing w:after="120" w:line="276" w:lineRule="auto"/>
        <w:ind w:left="360" w:right="360"/>
        <w:jc w:val="both"/>
        <w:suppressAutoHyphens w:val="1"/>
      </w:pPr>
      <w:r>
        <w:rPr>
          <w:rFonts w:ascii="Aptos" w:hAnsi="Aptos" w:eastAsia="Aptos"/>
          <w:b w:val="0"/>
          <w:sz w:val="22"/>
        </w:rPr>
        <w:t>Trade Base Hub may review Proof of Funds and related documentation for procedural and transaction-support purposes but is not a financial institution and does not certify or guarantee the authenticity, availability or deployability of funds. Independent banking verification may be required.</w:t>
      </w:r>
    </w:p>
    <w:p>
      <w:pPr>
        <w:pStyle w:val="Heading1"/>
        <w:keepNext/>
        <w:spacing w:before="200" w:after="120"/>
        <w:suppressAutoHyphens w:val="1"/>
      </w:pPr>
      <w:r>
        <w:rPr>
          <w:rFonts w:ascii="Aptos" w:hAnsi="Aptos" w:eastAsia="Aptos"/>
          <w:b/>
          <w:color w:val="0F2A41"/>
          <w:sz w:val="32"/>
        </w:rPr>
        <w:t>36. EFFECTIVE CONTROL</w:t>
      </w:r>
    </w:p>
    <w:p>
      <w:pPr>
        <w:keepLines w:val="0"/>
        <w:spacing w:after="120" w:line="276" w:lineRule="auto"/>
        <w:jc w:val="both"/>
        <w:suppressAutoHyphens w:val="1"/>
      </w:pPr>
      <w:r>
        <w:rPr>
          <w:rFonts w:ascii="Aptos" w:hAnsi="Aptos" w:eastAsia="Aptos"/>
          <w:b w:val="0"/>
          <w:sz w:val="22"/>
        </w:rPr>
        <w:t>This Policy should be incorporated into the Trade Base Hub controlled-document register and cross-referenced from:</w:t>
      </w:r>
    </w:p>
    <w:p>
      <w:pPr>
        <w:pStyle w:val="ListBullet"/>
        <w:spacing w:after="40" w:line="276" w:lineRule="auto"/>
        <w:jc w:val="both"/>
        <w:suppressAutoHyphens w:val="1"/>
      </w:pPr>
      <w:r>
        <w:rPr>
          <w:rFonts w:ascii="Aptos" w:hAnsi="Aptos" w:eastAsia="Aptos"/>
          <w:b w:val="0"/>
          <w:sz w:val="22"/>
        </w:rPr>
        <w:t>website Terms of Service;</w:t>
      </w:r>
    </w:p>
    <w:p>
      <w:pPr>
        <w:pStyle w:val="ListBullet"/>
        <w:spacing w:after="40" w:line="276" w:lineRule="auto"/>
        <w:jc w:val="both"/>
        <w:suppressAutoHyphens w:val="1"/>
      </w:pPr>
      <w:r>
        <w:rPr>
          <w:rFonts w:ascii="Aptos" w:hAnsi="Aptos" w:eastAsia="Aptos"/>
          <w:b w:val="0"/>
          <w:sz w:val="22"/>
        </w:rPr>
        <w:t>Privacy Policy;</w:t>
      </w:r>
    </w:p>
    <w:p>
      <w:pPr>
        <w:pStyle w:val="ListBullet"/>
        <w:spacing w:after="40" w:line="276" w:lineRule="auto"/>
        <w:jc w:val="both"/>
        <w:suppressAutoHyphens w:val="1"/>
      </w:pPr>
      <w:r>
        <w:rPr>
          <w:rFonts w:ascii="Aptos" w:hAnsi="Aptos" w:eastAsia="Aptos"/>
          <w:b w:val="0"/>
          <w:sz w:val="22"/>
        </w:rPr>
        <w:t>Compliance Policy;</w:t>
      </w:r>
    </w:p>
    <w:p>
      <w:pPr>
        <w:pStyle w:val="ListBullet"/>
        <w:spacing w:after="40" w:line="276" w:lineRule="auto"/>
        <w:jc w:val="both"/>
        <w:suppressAutoHyphens w:val="1"/>
      </w:pPr>
      <w:r>
        <w:rPr>
          <w:rFonts w:ascii="Aptos" w:hAnsi="Aptos" w:eastAsia="Aptos"/>
          <w:b w:val="0"/>
          <w:sz w:val="22"/>
        </w:rPr>
        <w:t>service-product descriptions;</w:t>
      </w:r>
    </w:p>
    <w:p>
      <w:pPr>
        <w:pStyle w:val="ListBullet"/>
        <w:spacing w:after="40" w:line="276" w:lineRule="auto"/>
        <w:jc w:val="both"/>
        <w:suppressAutoHyphens w:val="1"/>
      </w:pPr>
      <w:r>
        <w:rPr>
          <w:rFonts w:ascii="Aptos" w:hAnsi="Aptos" w:eastAsia="Aptos"/>
          <w:b w:val="0"/>
          <w:sz w:val="22"/>
        </w:rPr>
        <w:t>Whop checkout;</w:t>
      </w:r>
    </w:p>
    <w:p>
      <w:pPr>
        <w:pStyle w:val="ListBullet"/>
        <w:spacing w:after="40" w:line="276" w:lineRule="auto"/>
        <w:jc w:val="both"/>
        <w:suppressAutoHyphens w:val="1"/>
      </w:pPr>
      <w:r>
        <w:rPr>
          <w:rFonts w:ascii="Aptos" w:hAnsi="Aptos" w:eastAsia="Aptos"/>
          <w:b w:val="0"/>
          <w:sz w:val="22"/>
        </w:rPr>
        <w:t>Discord onboarding;</w:t>
      </w:r>
    </w:p>
    <w:p>
      <w:pPr>
        <w:pStyle w:val="ListBullet"/>
        <w:spacing w:after="40" w:line="276" w:lineRule="auto"/>
        <w:jc w:val="both"/>
        <w:suppressAutoHyphens w:val="1"/>
      </w:pPr>
      <w:r>
        <w:rPr>
          <w:rFonts w:ascii="Aptos" w:hAnsi="Aptos" w:eastAsia="Aptos"/>
          <w:b w:val="0"/>
          <w:sz w:val="22"/>
        </w:rPr>
        <w:t>Private Deal Room procedures; and</w:t>
      </w:r>
    </w:p>
    <w:p>
      <w:pPr>
        <w:pStyle w:val="ListBullet"/>
        <w:spacing w:after="40" w:line="276" w:lineRule="auto"/>
        <w:jc w:val="both"/>
        <w:suppressAutoHyphens w:val="1"/>
      </w:pPr>
      <w:r>
        <w:rPr>
          <w:rFonts w:ascii="Aptos" w:hAnsi="Aptos" w:eastAsia="Aptos"/>
          <w:b w:val="0"/>
          <w:sz w:val="22"/>
        </w:rPr>
        <w:t>controlled transaction documents where relevant.</w:t>
      </w:r>
    </w:p>
    <w:p>
      <w:pPr>
        <w:spacing w:before="360" w:after="0"/>
        <w:jc w:val="center"/>
        <w:suppressAutoHyphens w:val="1"/>
      </w:pPr>
      <w:r>
        <w:rPr>
          <w:rFonts w:ascii="Aptos" w:hAnsi="Aptos" w:eastAsia="Aptos"/>
          <w:b/>
          <w:color w:val="0F2A41"/>
          <w:sz w:val="22"/>
        </w:rPr>
        <w:t>END OF POLICY</w:t>
      </w:r>
    </w:p>
    <w:sectPr w:rsidR="00FC693F" w:rsidRPr="0006063C" w:rsidSect="00034616">
      <w:headerReference w:type="default" r:id="rId9"/>
      <w:footerReference w:type="default" r:id="rId10"/>
      <w:pgSz w:w="12240" w:h="15840"/>
      <w:pgMar w:top="1224" w:right="1224" w:bottom="1080" w:left="1224"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b w:val="0"/>
        <w:color w:val="4C5B6A"/>
        <w:sz w:val="18"/>
      </w:rPr>
      <w:t xml:space="preserve">Page </w:t>
    </w:r>
    <w:r>
      <w:rPr>
        <w:rFonts w:ascii="Aptos" w:hAnsi="Aptos" w:eastAsia="Aptos"/>
        <w:b w:val="0"/>
        <w:color w:val="4C5B6A"/>
        <w:sz w:val="18"/>
      </w:rPr>
      <w:fldChar w:fldCharType="begin"/>
      <w:instrText xml:space="preserve">PAGE</w:instrText>
      <w:fldChar w:fldCharType="end"/>
    </w:r>
    <w:r>
      <w:rPr>
        <w:rFonts w:ascii="Aptos" w:hAnsi="Aptos" w:eastAsia="Aptos"/>
        <w:b w:val="0"/>
        <w:color w:val="4C5B6A"/>
        <w:sz w:val="18"/>
      </w:rPr>
      <w:t xml:space="preserve"> of </w:t>
    </w:r>
    <w:r>
      <w:rPr>
        <w:rFonts w:ascii="Aptos" w:hAnsi="Aptos" w:eastAsia="Aptos"/>
        <w:b w:val="0"/>
        <w:color w:val="4C5B6A"/>
        <w:sz w:val="18"/>
      </w:rPr>
      <w:fldChar w:fldCharType="begin"/>
      <w:instrText xml:space="preserve">NUMPAGES</w:instrText>
      <w:fldChar w:fldCharType="end"/>
    </w:r>
    <w:r>
      <w:rPr>
        <w:rFonts w:ascii="Aptos" w:hAnsi="Aptos" w:eastAsia="Aptos"/>
        <w:b w:val="0"/>
        <w:color w:val="4C5B6A"/>
        <w:sz w:val="18"/>
      </w:rPr>
      <w:t xml:space="preserve">   |   TBH-RPSD-V1.0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Pr>
    <w:r>
      <w:drawing>
        <wp:inline xmlns:a="http://schemas.openxmlformats.org/drawingml/2006/main" xmlns:pic="http://schemas.openxmlformats.org/drawingml/2006/picture">
          <wp:extent cx="3977639" cy="795528"/>
          <wp:docPr id="1" name="Picture 1"/>
          <wp:cNvGraphicFramePr>
            <a:graphicFrameLocks noChangeAspect="1"/>
          </wp:cNvGraphicFramePr>
          <a:graphic>
            <a:graphicData uri="http://schemas.openxmlformats.org/drawingml/2006/picture">
              <pic:pic>
                <pic:nvPicPr>
                  <pic:cNvPr id="0" name="trade_base_hub_header_logo.png"/>
                  <pic:cNvPicPr/>
                </pic:nvPicPr>
                <pic:blipFill>
                  <a:blip r:embed="rId1"/>
                  <a:stretch>
                    <a:fillRect/>
                  </a:stretch>
                </pic:blipFill>
                <pic:spPr>
                  <a:xfrm>
                    <a:off x="0" y="0"/>
                    <a:ext cx="3977639" cy="795528"/>
                  </a:xfrm>
                  <a:prstGeom prst="rect"/>
                </pic:spPr>
              </pic:pic>
            </a:graphicData>
          </a:graphic>
        </wp:inline>
      </w:drawing>
    </w:r>
  </w:p>
  <w:p>
    <w:pPr>
      <w:spacing w:before="0" w:after="0"/>
      <w:pBdr>
        <w:bottom w:val="single" w:sz="8" w:space="1" w:color="0F2A4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autoHyphenation w:val="false"/>
  <w:doNotHyphenateCaps w:val="tru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jc w:val="both"/>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